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Tighe Mary Ann</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8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3,290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37,371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13,495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3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spacing w:after="0" w:line="7"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the reporting person's husband who shares the reporting person's household. The reporting person may be deemed to be the beneficial owner of the shares of common stock of Howard Hughes Holdings Inc. owned by the reporting person's husband.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Mary Ann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4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3211"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2026-06-24T17:26:05Z</dcterms:created>
  <dcterms:modified xsi:type="dcterms:W3CDTF">2026-06-24T17:26:05Z</dcterms:modified>
</cp:coreProperties>
</file>