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1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Pershing Square Capital Management,</w:t>
              </w:r>
            </w:hyperlink>
          </w:p>
        </w:tc>
        <w:tc>
          <w:tcPr>
            <w:tcW w:w="80" w:type="dxa"/>
            <w:vAlign w:val="bottom"/>
          </w:tcPr>
          <w:p>
            <w:pPr>
              <w:spacing w:after="0"/>
              <w:rPr>
                <w:sz w:val="9"/>
                <w:szCs w:val="9"/>
                <w:color w:val="auto"/>
              </w:rPr>
            </w:pPr>
          </w:p>
        </w:tc>
        <w:tc>
          <w:tcPr>
            <w:tcW w:w="3380" w:type="dxa"/>
            <w:vAlign w:val="bottom"/>
            <w:gridSpan w:val="1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Howard Hughes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HHH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12"/>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00" w:type="dxa"/>
            <w:vAlign w:val="bottom"/>
            <w:tcBorders>
              <w:bottom w:val="single" w:sz="8" w:color="0000EE"/>
            </w:tcBorders>
          </w:tcPr>
          <w:p>
            <w:pPr>
              <w:spacing w:after="0"/>
              <w:rPr>
                <w:sz w:val="6"/>
                <w:szCs w:val="6"/>
                <w:color w:val="auto"/>
              </w:rPr>
            </w:pPr>
          </w:p>
        </w:tc>
        <w:tc>
          <w:tcPr>
            <w:tcW w:w="400" w:type="dxa"/>
            <w:vAlign w:val="bottom"/>
            <w:tcBorders>
              <w:bottom w:val="single" w:sz="8" w:color="0000EE"/>
            </w:tcBorders>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12"/>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3"/>
            <w:vMerge w:val="restart"/>
          </w:tcPr>
          <w:p>
            <w:pPr>
              <w:ind w:left="400"/>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top w:val="single" w:sz="8" w:color="0000EE"/>
            </w:tcBorders>
            <w:vMerge w:val="restart"/>
          </w:tcPr>
          <w:p>
            <w:pPr>
              <w:spacing w:after="0" w:line="207" w:lineRule="exact"/>
              <w:rPr>
                <w:rFonts w:ascii="Times New Roman" w:cs="Times New Roman" w:eastAsia="Times New Roman" w:hAnsi="Times New Roman"/>
                <w:sz w:val="21"/>
                <w:szCs w:val="21"/>
                <w:color w:val="0000EE"/>
                <w:w w:val="91"/>
              </w:rPr>
            </w:pPr>
            <w:hyperlink r:id="rId13">
              <w:r>
                <w:rPr>
                  <w:rFonts w:ascii="Times New Roman" w:cs="Times New Roman" w:eastAsia="Times New Roman" w:hAnsi="Times New Roman"/>
                  <w:sz w:val="21"/>
                  <w:szCs w:val="21"/>
                  <w:color w:val="0000EE"/>
                  <w:w w:val="91"/>
                </w:rPr>
                <w:t>L.P.</w:t>
              </w:r>
            </w:hyperlink>
          </w:p>
        </w:tc>
        <w:tc>
          <w:tcPr>
            <w:tcW w:w="2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0000EE"/>
            </w:tcBorders>
            <w:vMerge w:val="continue"/>
          </w:tcPr>
          <w:p>
            <w:pPr>
              <w:spacing w:after="0"/>
              <w:rPr>
                <w:sz w:val="12"/>
                <w:szCs w:val="12"/>
                <w:color w:val="auto"/>
              </w:rPr>
            </w:pPr>
          </w:p>
        </w:tc>
        <w:tc>
          <w:tcPr>
            <w:tcW w:w="28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380" w:type="dxa"/>
            <w:vAlign w:val="bottom"/>
          </w:tcPr>
          <w:p>
            <w:pPr>
              <w:spacing w:after="0"/>
              <w:rPr>
                <w:sz w:val="12"/>
                <w:szCs w:val="1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3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tcPr>
          <w:p>
            <w:pPr>
              <w:ind w:left="400"/>
              <w:spacing w:after="0" w:line="87" w:lineRule="exact"/>
              <w:rPr>
                <w:sz w:val="20"/>
                <w:szCs w:val="20"/>
                <w:color w:val="auto"/>
              </w:rPr>
            </w:pPr>
            <w:r>
              <w:rPr>
                <w:rFonts w:ascii="Arial" w:cs="Arial" w:eastAsia="Arial" w:hAnsi="Arial"/>
                <w:sz w:val="10"/>
                <w:szCs w:val="10"/>
                <w:color w:val="auto"/>
              </w:rPr>
              <w:t>below)</w:t>
            </w:r>
          </w:p>
        </w:tc>
        <w:tc>
          <w:tcPr>
            <w:tcW w:w="380" w:type="dxa"/>
            <w:vAlign w:val="bottom"/>
          </w:tcPr>
          <w:p>
            <w:pPr>
              <w:spacing w:after="0"/>
              <w:rPr>
                <w:sz w:val="11"/>
                <w:szCs w:val="11"/>
                <w:color w:val="auto"/>
              </w:rPr>
            </w:pPr>
          </w:p>
        </w:tc>
        <w:tc>
          <w:tcPr>
            <w:tcW w:w="760" w:type="dxa"/>
            <w:vAlign w:val="bottom"/>
          </w:tcPr>
          <w:p>
            <w:pPr>
              <w:ind w:left="220"/>
              <w:spacing w:after="0" w:line="87" w:lineRule="exact"/>
              <w:rPr>
                <w:sz w:val="20"/>
                <w:szCs w:val="20"/>
                <w:color w:val="auto"/>
              </w:rPr>
            </w:pPr>
            <w:r>
              <w:rPr>
                <w:rFonts w:ascii="Arial" w:cs="Arial" w:eastAsia="Arial" w:hAnsi="Arial"/>
                <w:sz w:val="10"/>
                <w:szCs w:val="10"/>
                <w:color w:val="auto"/>
              </w:rPr>
              <w:t>below)</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48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11"/>
            <w:vMerge w:val="continue"/>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58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787 ELEVENTH AVENUE</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9TH FLOOR</w:t>
            </w: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120" w:type="dxa"/>
            <w:vAlign w:val="bottom"/>
            <w:tcBorders>
              <w:bottom w:val="single" w:sz="8" w:color="2C2C2C"/>
            </w:tcBorders>
            <w:gridSpan w:val="6"/>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20" w:type="dxa"/>
            <w:vAlign w:val="bottom"/>
            <w:gridSpan w:val="8"/>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10019</w:t>
            </w: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ind w:left="400"/>
              <w:spacing w:after="0"/>
              <w:rPr>
                <w:sz w:val="20"/>
                <w:szCs w:val="20"/>
                <w:color w:val="auto"/>
              </w:rPr>
            </w:pPr>
            <w:r>
              <w:rPr>
                <w:rFonts w:ascii="Arial" w:cs="Arial" w:eastAsia="Arial" w:hAnsi="Arial"/>
                <w:sz w:val="13"/>
                <w:szCs w:val="13"/>
                <w:color w:val="auto"/>
              </w:rPr>
              <w:t>Person</w:t>
            </w: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gridSpan w:val="2"/>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58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6"/>
          </w:tcPr>
          <w:p>
            <w:pPr>
              <w:jc w:val="right"/>
              <w:ind w:right="37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20" w:type="dxa"/>
            <w:vAlign w:val="bottom"/>
          </w:tcPr>
          <w:p>
            <w:pPr>
              <w:spacing w:after="0"/>
              <w:rPr>
                <w:sz w:val="15"/>
                <w:szCs w:val="15"/>
                <w:color w:val="auto"/>
              </w:rPr>
            </w:pP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180" w:type="dxa"/>
            <w:vAlign w:val="bottom"/>
          </w:tcPr>
          <w:p>
            <w:pPr>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w w:val="99"/>
              </w:rPr>
              <w:t>7. Nature of Indirect</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8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 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4)</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3"/>
              </w:rPr>
              <w:t>8)</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 or</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1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42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Series A Non-Voting</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Exchangeable Perpetual</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1"/>
                <w:szCs w:val="11"/>
                <w:color w:val="008000"/>
              </w:rPr>
              <w:t>(3)</w:t>
            </w:r>
          </w:p>
        </w:tc>
        <w:tc>
          <w:tcPr>
            <w:tcW w:w="4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140,000</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1160" w:type="dxa"/>
            <w:vAlign w:val="bottom"/>
            <w:gridSpan w:val="3"/>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7,142.8571</w:t>
            </w:r>
            <w:r>
              <w:rPr>
                <w:rFonts w:ascii="Times New Roman" w:cs="Times New Roman" w:eastAsia="Times New Roman" w:hAnsi="Times New Roman"/>
                <w:sz w:val="22"/>
                <w:szCs w:val="22"/>
                <w:color w:val="008000"/>
                <w:vertAlign w:val="superscript"/>
              </w:rPr>
              <w:t>(3)</w:t>
            </w: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140,000</w:t>
            </w:r>
          </w:p>
        </w:tc>
        <w:tc>
          <w:tcPr>
            <w:tcW w:w="180" w:type="dxa"/>
            <w:vAlign w:val="bottom"/>
          </w:tcPr>
          <w:p>
            <w:pPr>
              <w:spacing w:after="0"/>
              <w:rPr>
                <w:sz w:val="18"/>
                <w:szCs w:val="18"/>
                <w:color w:val="auto"/>
              </w:rPr>
            </w:pPr>
          </w:p>
        </w:tc>
        <w:tc>
          <w:tcPr>
            <w:tcW w:w="640" w:type="dxa"/>
            <w:vAlign w:val="bottom"/>
          </w:tcPr>
          <w:p>
            <w:pPr>
              <w:jc w:val="right"/>
              <w:ind w:right="371"/>
              <w:spacing w:after="0"/>
              <w:rPr>
                <w:sz w:val="20"/>
                <w:szCs w:val="20"/>
                <w:color w:val="auto"/>
              </w:rPr>
            </w:pPr>
            <w:r>
              <w:rPr>
                <w:rFonts w:ascii="Times New Roman" w:cs="Times New Roman" w:eastAsia="Times New Roman" w:hAnsi="Times New Roman"/>
                <w:sz w:val="17"/>
                <w:szCs w:val="17"/>
                <w:color w:val="0000FF"/>
              </w:rPr>
              <w:t>I</w:t>
            </w:r>
          </w:p>
        </w:tc>
        <w:tc>
          <w:tcPr>
            <w:tcW w:w="1860" w:type="dxa"/>
            <w:vAlign w:val="bottom"/>
            <w:gridSpan w:val="5"/>
          </w:tcPr>
          <w:p>
            <w:pPr>
              <w:spacing w:after="0" w:line="213" w:lineRule="exact"/>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Preferred Stock</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3"/>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4"/>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rPr>
              <w:t>18,511,031</w:t>
            </w:r>
          </w:p>
        </w:tc>
        <w:tc>
          <w:tcPr>
            <w:tcW w:w="180" w:type="dxa"/>
            <w:vAlign w:val="bottom"/>
          </w:tcPr>
          <w:p>
            <w:pPr>
              <w:spacing w:after="0"/>
              <w:rPr>
                <w:sz w:val="21"/>
                <w:szCs w:val="21"/>
                <w:color w:val="auto"/>
              </w:rPr>
            </w:pPr>
          </w:p>
        </w:tc>
        <w:tc>
          <w:tcPr>
            <w:tcW w:w="640" w:type="dxa"/>
            <w:vAlign w:val="bottom"/>
            <w:vMerge w:val="restart"/>
          </w:tcPr>
          <w:p>
            <w:pPr>
              <w:jc w:val="right"/>
              <w:ind w:right="371"/>
              <w:spacing w:after="0"/>
              <w:rPr>
                <w:sz w:val="20"/>
                <w:szCs w:val="20"/>
                <w:color w:val="auto"/>
              </w:rPr>
            </w:pPr>
            <w:r>
              <w:rPr>
                <w:rFonts w:ascii="Times New Roman" w:cs="Times New Roman" w:eastAsia="Times New Roman" w:hAnsi="Times New Roman"/>
                <w:sz w:val="17"/>
                <w:szCs w:val="17"/>
                <w:color w:val="0000FF"/>
              </w:rPr>
              <w:t>I</w:t>
            </w:r>
          </w:p>
        </w:tc>
        <w:tc>
          <w:tcPr>
            <w:tcW w:w="1860" w:type="dxa"/>
            <w:vAlign w:val="bottom"/>
            <w:gridSpan w:val="5"/>
          </w:tcPr>
          <w:p>
            <w:pPr>
              <w:spacing w:after="0" w:line="252" w:lineRule="exact"/>
              <w:rPr>
                <w:sz w:val="20"/>
                <w:szCs w:val="20"/>
                <w:color w:val="auto"/>
              </w:rPr>
            </w:pPr>
            <w:r>
              <w:rPr>
                <w:rFonts w:ascii="Times New Roman" w:cs="Times New Roman" w:eastAsia="Times New Roman" w:hAnsi="Times New Roman"/>
                <w:sz w:val="29"/>
                <w:szCs w:val="29"/>
                <w:color w:val="0000FF"/>
                <w:vertAlign w:val="subscript"/>
              </w:rPr>
              <w:t>See footnotes</w:t>
            </w:r>
            <w:r>
              <w:rPr>
                <w:rFonts w:ascii="Times New Roman" w:cs="Times New Roman" w:eastAsia="Times New Roman" w:hAnsi="Times New Roman"/>
                <w:sz w:val="10"/>
                <w:szCs w:val="10"/>
                <w:color w:val="008000"/>
              </w:rPr>
              <w:t>(1)(2)(5)(8)(9)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$0.01 per share</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w w:val="98"/>
              </w:rPr>
              <w:t>(10)(12)</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3"/>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7"/>
                <w:szCs w:val="17"/>
                <w:color w:val="0000FF"/>
              </w:rPr>
              <w:t>341,033</w:t>
            </w:r>
          </w:p>
        </w:tc>
        <w:tc>
          <w:tcPr>
            <w:tcW w:w="180" w:type="dxa"/>
            <w:vAlign w:val="bottom"/>
          </w:tcPr>
          <w:p>
            <w:pPr>
              <w:spacing w:after="0"/>
              <w:rPr>
                <w:sz w:val="21"/>
                <w:szCs w:val="21"/>
                <w:color w:val="auto"/>
              </w:rPr>
            </w:pPr>
          </w:p>
        </w:tc>
        <w:tc>
          <w:tcPr>
            <w:tcW w:w="640" w:type="dxa"/>
            <w:vAlign w:val="bottom"/>
            <w:vMerge w:val="restart"/>
          </w:tcPr>
          <w:p>
            <w:pPr>
              <w:jc w:val="right"/>
              <w:ind w:right="371"/>
              <w:spacing w:after="0"/>
              <w:rPr>
                <w:sz w:val="20"/>
                <w:szCs w:val="20"/>
                <w:color w:val="auto"/>
              </w:rPr>
            </w:pPr>
            <w:r>
              <w:rPr>
                <w:rFonts w:ascii="Times New Roman" w:cs="Times New Roman" w:eastAsia="Times New Roman" w:hAnsi="Times New Roman"/>
                <w:sz w:val="17"/>
                <w:szCs w:val="17"/>
                <w:color w:val="0000FF"/>
              </w:rPr>
              <w:t>I</w:t>
            </w:r>
          </w:p>
        </w:tc>
        <w:tc>
          <w:tcPr>
            <w:tcW w:w="1860" w:type="dxa"/>
            <w:vAlign w:val="bottom"/>
            <w:gridSpan w:val="5"/>
          </w:tcPr>
          <w:p>
            <w:pPr>
              <w:spacing w:after="0" w:line="252" w:lineRule="exact"/>
              <w:rPr>
                <w:sz w:val="20"/>
                <w:szCs w:val="20"/>
                <w:color w:val="auto"/>
              </w:rPr>
            </w:pPr>
            <w:r>
              <w:rPr>
                <w:rFonts w:ascii="Times New Roman" w:cs="Times New Roman" w:eastAsia="Times New Roman" w:hAnsi="Times New Roman"/>
                <w:sz w:val="29"/>
                <w:szCs w:val="29"/>
                <w:color w:val="0000FF"/>
                <w:vertAlign w:val="subscript"/>
              </w:rPr>
              <w:t>See footnotes</w:t>
            </w:r>
            <w:r>
              <w:rPr>
                <w:rFonts w:ascii="Times New Roman" w:cs="Times New Roman" w:eastAsia="Times New Roman" w:hAnsi="Times New Roman"/>
                <w:sz w:val="10"/>
                <w:szCs w:val="10"/>
                <w:color w:val="008000"/>
              </w:rPr>
              <w:t>(1)(2)(6)(8)(9)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$0.01 per share</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w w:val="98"/>
              </w:rPr>
              <w:t>(10)(12)</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3"/>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4"/>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rPr>
              <w:t>9,000,000</w:t>
            </w:r>
          </w:p>
        </w:tc>
        <w:tc>
          <w:tcPr>
            <w:tcW w:w="180" w:type="dxa"/>
            <w:vAlign w:val="bottom"/>
          </w:tcPr>
          <w:p>
            <w:pPr>
              <w:spacing w:after="0"/>
              <w:rPr>
                <w:sz w:val="21"/>
                <w:szCs w:val="21"/>
                <w:color w:val="auto"/>
              </w:rPr>
            </w:pPr>
          </w:p>
        </w:tc>
        <w:tc>
          <w:tcPr>
            <w:tcW w:w="640" w:type="dxa"/>
            <w:vAlign w:val="bottom"/>
            <w:vMerge w:val="restart"/>
          </w:tcPr>
          <w:p>
            <w:pPr>
              <w:jc w:val="right"/>
              <w:ind w:right="371"/>
              <w:spacing w:after="0"/>
              <w:rPr>
                <w:sz w:val="20"/>
                <w:szCs w:val="20"/>
                <w:color w:val="auto"/>
              </w:rPr>
            </w:pPr>
            <w:r>
              <w:rPr>
                <w:rFonts w:ascii="Times New Roman" w:cs="Times New Roman" w:eastAsia="Times New Roman" w:hAnsi="Times New Roman"/>
                <w:sz w:val="17"/>
                <w:szCs w:val="17"/>
                <w:color w:val="0000FF"/>
              </w:rPr>
              <w:t>I</w:t>
            </w:r>
          </w:p>
        </w:tc>
        <w:tc>
          <w:tcPr>
            <w:tcW w:w="1860" w:type="dxa"/>
            <w:vAlign w:val="bottom"/>
            <w:gridSpan w:val="5"/>
          </w:tcPr>
          <w:p>
            <w:pPr>
              <w:spacing w:after="0" w:line="252" w:lineRule="exact"/>
              <w:rPr>
                <w:sz w:val="20"/>
                <w:szCs w:val="20"/>
                <w:color w:val="auto"/>
              </w:rPr>
            </w:pPr>
            <w:r>
              <w:rPr>
                <w:rFonts w:ascii="Times New Roman" w:cs="Times New Roman" w:eastAsia="Times New Roman" w:hAnsi="Times New Roman"/>
                <w:sz w:val="29"/>
                <w:szCs w:val="29"/>
                <w:color w:val="0000FF"/>
                <w:vertAlign w:val="subscript"/>
              </w:rPr>
              <w:t>See footnotes</w:t>
            </w:r>
            <w:r>
              <w:rPr>
                <w:rFonts w:ascii="Times New Roman" w:cs="Times New Roman" w:eastAsia="Times New Roman" w:hAnsi="Times New Roman"/>
                <w:sz w:val="10"/>
                <w:szCs w:val="10"/>
                <w:color w:val="008000"/>
              </w:rPr>
              <w:t>(1)(7)(8)(9)(10)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$0.01 per share</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(12)</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3"/>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4"/>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rPr>
              <w:t>59,393,938</w:t>
            </w:r>
          </w:p>
        </w:tc>
        <w:tc>
          <w:tcPr>
            <w:tcW w:w="180" w:type="dxa"/>
            <w:vAlign w:val="bottom"/>
          </w:tcPr>
          <w:p>
            <w:pPr>
              <w:spacing w:after="0"/>
              <w:rPr>
                <w:sz w:val="21"/>
                <w:szCs w:val="21"/>
                <w:color w:val="auto"/>
              </w:rPr>
            </w:pPr>
          </w:p>
        </w:tc>
        <w:tc>
          <w:tcPr>
            <w:tcW w:w="640" w:type="dxa"/>
            <w:vAlign w:val="bottom"/>
            <w:vMerge w:val="restart"/>
          </w:tcPr>
          <w:p>
            <w:pPr>
              <w:jc w:val="right"/>
              <w:ind w:right="371"/>
              <w:spacing w:after="0"/>
              <w:rPr>
                <w:sz w:val="20"/>
                <w:szCs w:val="20"/>
                <w:color w:val="auto"/>
              </w:rPr>
            </w:pPr>
            <w:r>
              <w:rPr>
                <w:rFonts w:ascii="Times New Roman" w:cs="Times New Roman" w:eastAsia="Times New Roman" w:hAnsi="Times New Roman"/>
                <w:sz w:val="17"/>
                <w:szCs w:val="17"/>
                <w:color w:val="0000FF"/>
              </w:rPr>
              <w:t>I</w:t>
            </w:r>
          </w:p>
        </w:tc>
        <w:tc>
          <w:tcPr>
            <w:tcW w:w="1860" w:type="dxa"/>
            <w:vAlign w:val="bottom"/>
            <w:gridSpan w:val="5"/>
          </w:tcPr>
          <w:p>
            <w:pPr>
              <w:spacing w:after="0" w:line="252" w:lineRule="exact"/>
              <w:rPr>
                <w:sz w:val="20"/>
                <w:szCs w:val="20"/>
                <w:color w:val="auto"/>
              </w:rPr>
            </w:pPr>
            <w:r>
              <w:rPr>
                <w:rFonts w:ascii="Times New Roman" w:cs="Times New Roman" w:eastAsia="Times New Roman" w:hAnsi="Times New Roman"/>
                <w:sz w:val="29"/>
                <w:szCs w:val="29"/>
                <w:color w:val="0000FF"/>
                <w:vertAlign w:val="subscript"/>
              </w:rPr>
              <w:t>See footnotes</w:t>
            </w:r>
            <w:r>
              <w:rPr>
                <w:rFonts w:ascii="Times New Roman" w:cs="Times New Roman" w:eastAsia="Times New Roman" w:hAnsi="Times New Roman"/>
                <w:sz w:val="10"/>
                <w:szCs w:val="10"/>
                <w:color w:val="008000"/>
              </w:rPr>
              <w:t>(1)(8)(9)(10)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$0.01 per share</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w w:val="98"/>
              </w:rPr>
              <w:t>(11)(12)</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6"/>
          </w:tcPr>
          <w:p>
            <w:pPr>
              <w:spacing w:after="0"/>
              <w:rPr>
                <w:sz w:val="8"/>
                <w:szCs w:val="8"/>
                <w:color w:val="auto"/>
              </w:rPr>
            </w:pPr>
          </w:p>
        </w:tc>
        <w:tc>
          <w:tcPr>
            <w:tcW w:w="1340" w:type="dxa"/>
            <w:vAlign w:val="bottom"/>
            <w:tcBorders>
              <w:bottom w:val="single" w:sz="8" w:color="2C2C2C"/>
            </w:tcBorders>
            <w:gridSpan w:val="5"/>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26"/>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00" w:type="dxa"/>
            <w:vAlign w:val="bottom"/>
            <w:gridSpan w:val="22"/>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6"/>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11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2"/>
              </w:rPr>
              <w:t>(Instr. 5)</w:t>
            </w:r>
          </w:p>
        </w:tc>
        <w:tc>
          <w:tcPr>
            <w:tcW w:w="18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Following</w:t>
            </w:r>
          </w:p>
        </w:tc>
        <w:tc>
          <w:tcPr>
            <w:tcW w:w="3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40" w:type="dxa"/>
            <w:vAlign w:val="bottom"/>
            <w:gridSpan w:val="2"/>
          </w:tcPr>
          <w:p>
            <w:pPr>
              <w:ind w:left="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5"/>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2"/>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Pershing Square Capital Management, L.P.</w:t>
              </w:r>
            </w:hyperlink>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3"/>
                <w:szCs w:val="13"/>
                <w:color w:val="auto"/>
              </w:rPr>
              <w:t>(First)</w:t>
            </w:r>
          </w:p>
        </w:tc>
        <w:tc>
          <w:tcPr>
            <w:tcW w:w="700" w:type="dxa"/>
            <w:vAlign w:val="bottom"/>
          </w:tcPr>
          <w:p>
            <w:pPr>
              <w:spacing w:after="0"/>
              <w:rPr>
                <w:sz w:val="24"/>
                <w:szCs w:val="24"/>
                <w:color w:val="auto"/>
              </w:rPr>
            </w:pPr>
          </w:p>
        </w:tc>
        <w:tc>
          <w:tcPr>
            <w:tcW w:w="116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787 ELEVENTH AVENUE</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9TH FLOOR</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70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gridSpan w:val="2"/>
          </w:tcPr>
          <w:p>
            <w:pPr>
              <w:spacing w:after="0"/>
              <w:rPr>
                <w:sz w:val="13"/>
                <w:szCs w:val="13"/>
                <w:color w:val="auto"/>
              </w:rPr>
            </w:pPr>
          </w:p>
        </w:tc>
        <w:tc>
          <w:tcPr>
            <w:tcW w:w="400" w:type="dxa"/>
            <w:vAlign w:val="bottom"/>
            <w:tcBorders>
              <w:bottom w:val="single" w:sz="8" w:color="9A9A9A"/>
            </w:tcBorders>
            <w:gridSpan w:val="3"/>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3"/>
                <w:szCs w:val="13"/>
                <w:color w:val="auto"/>
              </w:rPr>
              <w:t>(State)</w:t>
            </w:r>
          </w:p>
        </w:tc>
        <w:tc>
          <w:tcPr>
            <w:tcW w:w="700" w:type="dxa"/>
            <w:vAlign w:val="bottom"/>
          </w:tcPr>
          <w:p>
            <w:pPr>
              <w:spacing w:after="0"/>
              <w:rPr>
                <w:sz w:val="24"/>
                <w:szCs w:val="24"/>
                <w:color w:val="auto"/>
              </w:rPr>
            </w:pPr>
          </w:p>
        </w:tc>
        <w:tc>
          <w:tcPr>
            <w:tcW w:w="116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733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17335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787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9240" cy="8787130"/>
                    </a:xfrm>
                    <a:prstGeom prst="rect">
                      <a:avLst/>
                    </a:prstGeom>
                    <a:noFill/>
                  </pic:spPr>
                </pic:pic>
              </a:graphicData>
            </a:graphic>
          </wp:anchor>
        </w:drawing>
      </w:r>
      <w:hyperlink r:id="rId18">
        <w:r>
          <w:rPr>
            <w:rFonts w:ascii="Times New Roman" w:cs="Times New Roman" w:eastAsia="Times New Roman" w:hAnsi="Times New Roman"/>
            <w:sz w:val="21"/>
            <w:szCs w:val="21"/>
            <w:u w:val="single" w:color="auto"/>
            <w:color w:val="0000EE"/>
          </w:rPr>
          <w:t>Pershing Square HHH Holdings, LLC</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787 ELEVENTH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9TH FLOOR</w:t>
            </w: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PERSHING SQUARE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787 ELEVENTH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9TH FLOOR</w:t>
            </w: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Pershing Square Partner Group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787 ELEVENTH AVENUE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9TH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Pershing Square Management,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787 ELEVENTH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9TH FLOOR</w:t>
            </w: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ACKMAN WILLIAM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787 ELEVENTH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9TH FLOOR</w:t>
            </w: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Pershing Square Capital Management, L.P., a Delaware limited partnership ("PSCM"), this Form 4 is being filed jointly by Pershing Square HHH Holdings, LLC, a Nevada limited liability company ("HHH Holdings"), Pershing Square Inc., a Nevada corporation ("PS Inc."), Pershing Square Management, LLC, a Delaware limited liability company ("ManagementCo"), Pershing Square Partner Group, LLC, a Delaware limited liability company ("PSPG"), and William A. Ackman, a citizen of the United States of America (collectively, the "Reporting Persons"), each of whom has the same business address as PSCM and may be deemed to beneficially own the securities of the Issuer reported on this Form 4 (the "Subject Securities").</w:t>
      </w:r>
    </w:p>
    <w:p>
      <w:pPr>
        <w:spacing w:after="0" w:line="24"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PSCM advises the accounts of Pershing Square, L.P., a Delaware limited partnership ("PSLP"), Pershing Square International, Ltd., a Cayman Islands exempted company ("PSI"), and Pershing Square Holdings, Ltd., a limited liability company incorporated in Guernsey ("PSH" and together with PSLP and PSI, the "Pershing Square Affiliated Funds") and PS Redemption, L.P., a Delaware limited partnership ("RedemptionCo").</w:t>
      </w:r>
    </w:p>
    <w:p>
      <w:pPr>
        <w:spacing w:after="0" w:line="20" w:lineRule="exact"/>
        <w:rPr>
          <w:rFonts w:ascii="Times New Roman" w:cs="Times New Roman" w:eastAsia="Times New Roman" w:hAnsi="Times New Roman"/>
          <w:sz w:val="13"/>
          <w:szCs w:val="13"/>
          <w:color w:val="008000"/>
        </w:rPr>
      </w:pPr>
    </w:p>
    <w:p>
      <w:pPr>
        <w:jc w:val="both"/>
        <w:ind w:left="20" w:right="2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completion of the acquisition of Vantage Group Holdings Ltd. by the Issuer on June 4, 2026, PSH acquired 140,000 shares of the Issuer's Series A Non-Voting Exchangeable Perpetual Preferred Stock, par value $0.01 per share, for an aggregate purchase price of approximately $1.0 billion, pursuant to the Subscription Agreement, dated as of June 4, 2026, by and between Howard Hughes Insurance Holdings, LLC, PSH and the Issuer, as described in greater detail in the Issuer's Form 8-K filed on June 5, 2026.</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Subject Securities are held by PSH through its wholly-owned subsidiaries.</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Subject Securities are held by the Pershing Square Affiliated Funds.</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Subject Securities are held by RedemptionCo.</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Subject Securities are held by HHH Holdings.</w:t>
      </w:r>
    </w:p>
    <w:p>
      <w:pPr>
        <w:sectPr>
          <w:pgSz w:w="11900" w:h="16838" w:orient="portrait"/>
          <w:cols w:equalWidth="0" w:num="1">
            <w:col w:w="10840"/>
          </w:cols>
          <w:pgMar w:left="480" w:top="152" w:right="579" w:bottom="0" w:gutter="0" w:footer="0" w:header="0"/>
        </w:sectPr>
      </w:pPr>
    </w:p>
    <w:bookmarkStart w:id="2" w:name="page3"/>
    <w:bookmarkEnd w:id="2"/>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ManagementCo holds majority voting power over PS Inc. (including in its capacity as the managing member of PSPG). PS Inc. is the indirect parent company, and PSCM is the direct parent company, of HHH Holdings. ManagementCo, PSPG, PS Inc. and PSCM may each be deemed to be the beneficial owner of the Subject Securities for purposes of Rule 16a-1(a) under the Securities Exchange Act of 1934, as amended (the "Exchange Act")</w:t>
      </w:r>
    </w:p>
    <w:p>
      <w:pPr>
        <w:spacing w:after="0" w:line="20"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8) ManagementCo is governed by its members, consisting of Mr. Ackman, Ryan Israel, Ben Hakim, Michael Gonnella, Anthony Massaro and Halit Coussin (collectively, the "ManagementCo Members"). Mr. Ackman owns 24.9% of the voting interests of ManagementCo, with Mr. Israel, Mr. Hakim, Mr. Gonnella, Mr. Massaro and Ms. Coussin each owning the remainder of the voting interests equally (approximately 15% each), and the approval of a majority of the voting interests is generally required to approve any action of ManagementCo.</w:t>
      </w:r>
    </w:p>
    <w:p>
      <w:pPr>
        <w:spacing w:after="0" w:line="20" w:lineRule="exact"/>
        <w:rPr>
          <w:rFonts w:ascii="Times New Roman" w:cs="Times New Roman" w:eastAsia="Times New Roman" w:hAnsi="Times New Roman"/>
          <w:sz w:val="13"/>
          <w:szCs w:val="13"/>
          <w:color w:val="008000"/>
        </w:rPr>
      </w:pPr>
    </w:p>
    <w:p>
      <w:pPr>
        <w:jc w:val="both"/>
        <w:ind w:right="38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9) By virtue of Mr. Ackman's position as, among other positions, the Chief Executive Officer of PSCM, Mr. Ackman may be deemed to be the beneficial owner of the Subject Securities for purposes of Rule 16a-1(a) under the Exchange Act. Each of the Reporting Persons and the ManagementCo Members disclaims any beneficial ownership of any of the Subject Securities, except to the extent of any pecuniary interest therein.</w:t>
      </w:r>
    </w:p>
    <w:p>
      <w:pPr>
        <w:spacing w:after="0" w:line="20" w:lineRule="exact"/>
        <w:rPr>
          <w:rFonts w:ascii="Times New Roman" w:cs="Times New Roman" w:eastAsia="Times New Roman" w:hAnsi="Times New Roman"/>
          <w:sz w:val="13"/>
          <w:szCs w:val="13"/>
          <w:color w:val="008000"/>
        </w:rPr>
      </w:pPr>
    </w:p>
    <w:p>
      <w:pPr>
        <w:ind w:firstLine="7"/>
        <w:spacing w:after="0" w:line="244"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Subject Securities are not held by the Reporting Persons. However, pursuant to a Services Agreement, dated May 5, 2025, by and between PSCM and the Issuer, PSCM is entitled to a fee for services determined in part by reference to the increase, if any, in the price of a number of shares of Common Stock of the Issuer (the "Reference Securities") above $66.1453 per share, as described in greater detail in the Issuer's Form 8-K filed on May 6, 2025. Pursuant to Rule 16a-1(a) under the Exchange Act, PSCM's interest under the Services Agreement may be deemed to be a performance-related fee with respect to, and therefore beneficial ownership of, the Reference Securities. As of the date of this Form 4, the number of Reference Securities is 59,393,938. As with the other Subject Securities, each of the Reporting Persons disclaims any beneficial ownership of the Reference Securities, except to the extent of any pecuniary interest therein.</w:t>
      </w:r>
    </w:p>
    <w:p>
      <w:pPr>
        <w:spacing w:after="0" w:line="26"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Ackman and Mr. Israel, each a member of the board of directors of the Issuer, were appointed to or elected to that board as representatives of the Reporting Persons, the Pershing Square Affiliated Funds and RedemptionCo. As a result, each of those persons is a director by deputization for purposes of Section 16 of the Exchange Act.</w:t>
      </w:r>
    </w:p>
    <w:p>
      <w:pPr>
        <w:sectPr>
          <w:pgSz w:w="11900" w:h="16838" w:orient="portrait"/>
          <w:cols w:equalWidth="0" w:num="1">
            <w:col w:w="10880"/>
          </w:cols>
          <w:pgMar w:left="500" w:top="127" w:right="51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PERSHING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05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/s/ William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4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Ackman,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226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PERSHING SQUARE HHH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1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William A. 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8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PERSHING SQUARE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76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William A. 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PERSHING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05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GROUP,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93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PERSHING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5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7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68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William A. Ackman,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82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PERSHING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05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William A. 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96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049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89" w:lineRule="exact"/>
        <w:rPr>
          <w:sz w:val="20"/>
          <w:szCs w:val="20"/>
          <w:color w:val="auto"/>
        </w:rPr>
      </w:pPr>
    </w:p>
    <w:p>
      <w:pPr>
        <w:sectPr>
          <w:pgSz w:w="11900" w:h="16838" w:orient="portrait"/>
          <w:cols w:equalWidth="0" w:num="2">
            <w:col w:w="8680" w:space="60"/>
            <w:col w:w="2140"/>
          </w:cols>
          <w:pgMar w:left="500" w:top="127" w:right="519" w:bottom="144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William A. Ackman</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13" Type="http://schemas.openxmlformats.org/officeDocument/2006/relationships/hyperlink" Target="http://www.sec.gov/cgi-bin/browse-edgar?action=getcompany&amp;CIK=0001336528" TargetMode="External"/><Relationship Id="rId14" Type="http://schemas.openxmlformats.org/officeDocument/2006/relationships/hyperlink" Target="http://www.sec.gov/cgi-bin/browse-edgar?action=getcompany&amp;CIK=0001981792" TargetMode="External"/><Relationship Id="rId18" Type="http://schemas.openxmlformats.org/officeDocument/2006/relationships/hyperlink" Target="http://www.sec.gov/cgi-bin/browse-edgar?action=getcompany&amp;CIK=0002131683" TargetMode="External"/><Relationship Id="rId19" Type="http://schemas.openxmlformats.org/officeDocument/2006/relationships/hyperlink" Target="http://www.sec.gov/cgi-bin/browse-edgar?action=getcompany&amp;CIK=0002026053" TargetMode="External"/><Relationship Id="rId20" Type="http://schemas.openxmlformats.org/officeDocument/2006/relationships/hyperlink" Target="http://www.sec.gov/cgi-bin/browse-edgar?action=getcompany&amp;CIK=0002129159" TargetMode="External"/><Relationship Id="rId21" Type="http://schemas.openxmlformats.org/officeDocument/2006/relationships/hyperlink" Target="http://www.sec.gov/cgi-bin/browse-edgar?action=getcompany&amp;CIK=0002027456" TargetMode="External"/><Relationship Id="rId22" Type="http://schemas.openxmlformats.org/officeDocument/2006/relationships/hyperlink" Target="http://www.sec.gov/cgi-bin/browse-edgar?action=getcompany&amp;CIK=00010565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2026-06-08T17:15:10Z</dcterms:created>
  <dcterms:modified xsi:type="dcterms:W3CDTF">2026-06-08T17:15:10Z</dcterms:modified>
</cp:coreProperties>
</file>