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Eun David</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Howard Hughes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HHH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30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9950 WOODLOCH FOREST DRIVE</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06/19/2026</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1100</w:t>
            </w: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THE</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spacing w:after="0" w:line="213" w:lineRule="exact"/>
              <w:rPr>
                <w:sz w:val="20"/>
                <w:szCs w:val="20"/>
                <w:color w:val="auto"/>
              </w:rPr>
            </w:pPr>
            <w:r>
              <w:rPr>
                <w:rFonts w:ascii="Times New Roman" w:cs="Times New Roman" w:eastAsia="Times New Roman" w:hAnsi="Times New Roman"/>
                <w:sz w:val="14"/>
                <w:szCs w:val="14"/>
                <w:color w:val="0000FF"/>
              </w:rPr>
              <w:t xml:space="preserve">WOODLANDS </w:t>
            </w:r>
            <w:r>
              <w:rPr>
                <w:rFonts w:ascii="Times New Roman" w:cs="Times New Roman" w:eastAsia="Times New Roman" w:hAnsi="Times New Roman"/>
                <w:sz w:val="24"/>
                <w:szCs w:val="24"/>
                <w:color w:val="0000FF"/>
                <w:vertAlign w:val="superscript"/>
              </w:rPr>
              <w:t>TX</w:t>
            </w:r>
          </w:p>
        </w:tc>
        <w:tc>
          <w:tcPr>
            <w:tcW w:w="84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77380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1380" w:type="dxa"/>
            <w:vAlign w:val="bottom"/>
            <w:tcBorders>
              <w:bottom w:val="single" w:sz="8" w:color="9A9A9A"/>
            </w:tcBorders>
            <w:gridSpan w:val="2"/>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300" w:type="dxa"/>
            <w:vAlign w:val="bottom"/>
          </w:tcPr>
          <w:p>
            <w:pPr>
              <w:spacing w:after="0"/>
              <w:rPr>
                <w:sz w:val="24"/>
                <w:szCs w:val="24"/>
                <w:color w:val="auto"/>
              </w:rPr>
            </w:pPr>
          </w:p>
        </w:tc>
        <w:tc>
          <w:tcPr>
            <w:tcW w:w="138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7"/>
              </w:rPr>
              <w:t>3,290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9,720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5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granted to non-employee directors pursuant to the Issuer's 2025 Equity Incentive Plan. The shares vest on the earlier of the 2027 annual meeting of stockholders of Howard Hughes Holdings Inc. or June 1, 2027.</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Nathan Bryce (Attorney-in- </w:t>
      </w:r>
      <w:r>
        <w:rPr>
          <w:rFonts w:ascii="Times New Roman" w:cs="Times New Roman" w:eastAsia="Times New Roman" w:hAnsi="Times New Roman"/>
          <w:sz w:val="33"/>
          <w:szCs w:val="33"/>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David Eun)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82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9862" TargetMode="External"/><Relationship Id="rId14" Type="http://schemas.openxmlformats.org/officeDocument/2006/relationships/hyperlink" Target="http://www.sec.gov/cgi-bin/browse-edgar?action=getcompany&amp;CIK=000198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2026-06-24T17:14:38Z</dcterms:created>
  <dcterms:modified xsi:type="dcterms:W3CDTF">2026-06-24T17:14:38Z</dcterms:modified>
</cp:coreProperties>
</file>