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firstLine="720"/>
        <w:jc w:val="left"/>
        <w:rPr/>
      </w:pPr>
      <w:bookmarkStart w:id="0" w:name="tm2622758d1_8ka.htm"/>
      <w:bookmarkStart w:id="1" w:name="kstm2622758d1_8ka"/>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7_edei--DocumentType_c20260305__20"/>
      <w:bookmarkEnd w:id="2"/>
      <w:r>
        <w:rPr>
          <w:rFonts w:ascii="Times New Roman;Times;Serif" w:hAnsi="Times New Roman;Times;Serif"/>
          <w:b/>
          <w:i w:val="false"/>
          <w:caps w:val="false"/>
          <w:smallCaps w:val="false"/>
          <w:sz w:val="28"/>
        </w:rPr>
        <w:t>8-K/A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March 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7528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52850" cy="723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7_edei--EntityRegistrantName_c2026"/>
      <w:bookmarkEnd w:id="4"/>
      <w:r>
        <w:rPr>
          <w:rFonts w:ascii="Times New Roman;Times;Serif" w:hAnsi="Times New Roman;Times;Serif"/>
          <w:b/>
          <w:i w:val="false"/>
          <w:caps w:val="false"/>
          <w:smallCaps w:val="false"/>
          <w:sz w:val="36"/>
          <w:u w:val="single"/>
        </w:rPr>
        <w:t>HOWARD HUGHES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2465"/>
        <w:gridCol w:w="60"/>
        <w:gridCol w:w="2615"/>
        <w:gridCol w:w="60"/>
        <w:gridCol w:w="1760"/>
      </w:tblGrid>
      <w:tr>
        <w:trPr/>
        <w:tc>
          <w:tcPr>
            <w:tcW w:w="2465" w:type="dxa"/>
            <w:tcBorders/>
            <w:vAlign w:val="center"/>
          </w:tcPr>
          <w:p>
            <w:pPr>
              <w:pStyle w:val="TableContents"/>
              <w:bidi w:val="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jc w:val="center"/>
              <w:rPr>
                <w:rFonts w:ascii="Times New Roman;Times;Serif" w:hAnsi="Times New Roman;Times;Serif"/>
                <w:b/>
                <w:i w:val="false"/>
                <w:caps w:val="false"/>
                <w:smallCaps w:val="false"/>
                <w:sz w:val="20"/>
              </w:rPr>
            </w:pPr>
            <w:bookmarkStart w:id="6" w:name="xdx_905_edei--EntityFileNumber_c20260305"/>
            <w:bookmarkEnd w:id="6"/>
            <w:r>
              <w:rPr>
                <w:rFonts w:ascii="Times New Roman;Times;Serif" w:hAnsi="Times New Roman;Times;Serif"/>
                <w:b/>
                <w:i w:val="false"/>
                <w:caps w:val="false"/>
                <w:smallCaps w:val="false"/>
                <w:sz w:val="20"/>
              </w:rPr>
              <w:t>001-41779</w:t>
            </w:r>
          </w:p>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93-1869991</w:t>
            </w:r>
          </w:p>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9950 Woodloch Forest Drive, </w:t>
      </w:r>
      <w:bookmarkStart w:id="9" w:name="xdx_904_edei--EntityAddressAddressLine2_"/>
      <w:bookmarkEnd w:id="9"/>
      <w:r>
        <w:rPr>
          <w:rFonts w:ascii="Times New Roman;Times;Serif" w:hAnsi="Times New Roman;Times;Serif"/>
          <w:b/>
          <w:i w:val="false"/>
          <w:caps w:val="false"/>
          <w:smallCaps w:val="false"/>
          <w:sz w:val="20"/>
        </w:rPr>
        <w:t>Suite 1100</w:t>
      </w:r>
    </w:p>
    <w:p>
      <w:pPr>
        <w:pStyle w:val="TextBody"/>
        <w:bidi w:val="0"/>
        <w:spacing w:before="0" w:after="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The Woodlands, </w:t>
      </w:r>
      <w:bookmarkStart w:id="11" w:name="xdx_905_edei--EntityAddressStateOrProvin"/>
      <w:bookmarkEnd w:id="11"/>
      <w:r>
        <w:rPr>
          <w:rFonts w:ascii="Times New Roman;Times;Serif" w:hAnsi="Times New Roman;Times;Serif"/>
          <w:b/>
          <w:i w:val="false"/>
          <w:caps w:val="false"/>
          <w:smallCaps w:val="false"/>
          <w:sz w:val="20"/>
        </w:rPr>
        <w:t xml:space="preserve">Texas </w:t>
      </w:r>
      <w:bookmarkStart w:id="12" w:name="xdx_903_edei--EntityAddressPostalZipCode"/>
      <w:bookmarkEnd w:id="12"/>
      <w:r>
        <w:rPr>
          <w:rFonts w:ascii="Times New Roman;Times;Serif" w:hAnsi="Times New Roman;Times;Serif"/>
          <w:b/>
          <w:i w:val="false"/>
          <w:caps w:val="false"/>
          <w:smallCaps w:val="false"/>
          <w:sz w:val="20"/>
        </w:rPr>
        <w:t>77381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7_edei--CityAreaCode_c20260305__20"/>
      <w:bookmarkEnd w:id="13"/>
      <w:r>
        <w:rPr>
          <w:rFonts w:ascii="Times New Roman;Times;Serif" w:hAnsi="Times New Roman;Times;Serif"/>
          <w:b/>
          <w:i w:val="false"/>
          <w:caps w:val="false"/>
          <w:smallCaps w:val="false"/>
          <w:sz w:val="20"/>
        </w:rPr>
        <w:t xml:space="preserve">281) </w:t>
      </w:r>
      <w:bookmarkStart w:id="14" w:name="xdx_906_edei--LocalPhoneNumber_c20260305"/>
      <w:bookmarkEnd w:id="14"/>
      <w:r>
        <w:rPr>
          <w:rFonts w:ascii="Times New Roman;Times;Serif" w:hAnsi="Times New Roman;Times;Serif"/>
          <w:b/>
          <w:i w:val="false"/>
          <w:caps w:val="false"/>
          <w:smallCaps w:val="false"/>
          <w:sz w:val="20"/>
        </w:rPr>
        <w:t>719-6100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3335"/>
        <w:gridCol w:w="60"/>
        <w:gridCol w:w="1610"/>
        <w:gridCol w:w="60"/>
        <w:gridCol w:w="2870"/>
      </w:tblGrid>
      <w:tr>
        <w:trPr/>
        <w:tc>
          <w:tcPr>
            <w:tcW w:w="33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2870" w:type="dxa"/>
            <w:tcBorders/>
            <w:vAlign w:val="center"/>
          </w:tcPr>
          <w:p>
            <w:pPr>
              <w:pStyle w:val="TableContents"/>
              <w:bidi w:val="0"/>
              <w:spacing w:before="0" w:after="283"/>
              <w:jc w:val="center"/>
              <w:rPr/>
            </w:pPr>
            <w:r>
              <w:rPr>
                <w:rFonts w:ascii="Times New Roman;Times;Serif" w:hAnsi="Times New Roman;Times;Serif"/>
                <w:b/>
                <w:sz w:val="20"/>
              </w:rPr>
              <w:t>Name of each exchange on which</w:t>
            </w:r>
            <w:r>
              <w:rPr/>
              <w:t xml:space="preserve"> </w:t>
              <w:br/>
            </w:r>
            <w:r>
              <w:rPr>
                <w:b/>
              </w:rPr>
              <w:t>registered:</w:t>
            </w:r>
          </w:p>
        </w:tc>
      </w:tr>
      <w:tr>
        <w:trPr/>
        <w:tc>
          <w:tcPr>
            <w:tcW w:w="33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5" w:name="xdx_908_edei--Security12bTitle_c20260305"/>
            <w:bookmarkEnd w:id="15"/>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left"/>
              <w:rPr/>
            </w:pPr>
            <w:r>
              <w:rPr/>
              <w:t> </w:t>
            </w:r>
          </w:p>
        </w:tc>
        <w:tc>
          <w:tcPr>
            <w:tcW w:w="161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6" w:name="xdx_90F_edei--TradingSymbol_c20260305__2"/>
            <w:bookmarkEnd w:id="16"/>
            <w:r>
              <w:rPr>
                <w:rFonts w:ascii="Times New Roman;Times;Serif" w:hAnsi="Times New Roman;Times;Serif"/>
                <w:sz w:val="20"/>
              </w:rPr>
              <w:t>HHH</w:t>
            </w:r>
          </w:p>
        </w:tc>
        <w:tc>
          <w:tcPr>
            <w:tcW w:w="60" w:type="dxa"/>
            <w:tcBorders/>
            <w:vAlign w:val="center"/>
          </w:tcPr>
          <w:p>
            <w:pPr>
              <w:pStyle w:val="TableContents"/>
              <w:bidi w:val="0"/>
              <w:spacing w:before="0" w:after="283"/>
              <w:jc w:val="left"/>
              <w:rPr/>
            </w:pPr>
            <w:r>
              <w:rPr/>
              <w:t> </w:t>
            </w:r>
          </w:p>
        </w:tc>
        <w:tc>
          <w:tcPr>
            <w:tcW w:w="287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7" w:name="xdx_903_edei--SecurityExchangeName_c2026"/>
            <w:bookmarkEnd w:id="17"/>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4_edei--WrittenCommunications_c202"/>
            <w:bookmarkEnd w:id="18"/>
            <w:r>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8_edei--SolicitingMaterial_c202603"/>
            <w:bookmarkEnd w:id="19"/>
            <w:r>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1_edei--PreCommencementTenderOffer"/>
            <w:bookmarkEnd w:id="20"/>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1" w:name="xdx_90F_edei--PreCommencementIssuerTende"/>
            <w:bookmarkEnd w:id="21"/>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8-K/A (this “Amendment”) amends the Current Report on Form 8-K filed by Howard Hughes Holdings Inc. (the “Company”) with the Securities and Exchange Commission on March 6, 2026 (the “Original Form 8-K”), as amended by the Company’s Current Report on Form 8-K/A filed on March 31, 2026 (the “Prior Amendment”). The Original Form 8-K disclosed the date of the Company’s 2026 Annual Meeting of Stockholders (the “2026 Annual Meeting”) and the record date for stockholders entitled to vote at the 2026 Annual Meeting. The Prior Amendment updated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is being filed solely to update the date of the 2026 Annual Meeting and the record date for stockholders entitled to notice of, and to vote at, the 2026 Annual Meeting. Except as described in this Amendment, the Original Form 8-K and the Prior Amendment remain unchanged and in effect.</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Company’s Board of Directors (the “Board”) determined that it is in the best interests of the Company and its stockholders to change both the date of the 2026 Annual Meeting and the related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Annual Meeting will now be held on Wednesday, September 30, 2026. The Board has fixed the close of business on Monday, August 17, 2026 as the record date for determining the stockholders entitled to notice of, and to vote at, the 2026 Annual Meeting and any adjournment or postponement thereof. Only stockholders of record at the close of business on August 17, 2026 will be entitled to notice of, and to vote at,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time, location and format (including any means of remote communication, if applicable) of the 2026 Annual Meeting will be specified in the Company’s definitive proxy statement and related proxy materials for the 2026 Annual Meeting, which will be filed with the Securities and Exchange Commission and mailed or otherwise made available to stockholders entitled to vote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previously announced date of September 17, 2026 for the 2026 Annual Meeting and the previously announced record date of July 22, 2026 for stockholders entitled to notice of, and to vote at, the 2026 Annual Meeting, as described in the Prior Amendment, are no longer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2026 Annual Meeting will be held on September 30, 2026, the anniversary of the Company’s 2025 annual meeting of stockholders, the deadlines previously disclosed in the Prior Amendment remain unchanged. The deadline for submission of Rule 14a-8 proposals was April 17, 2026. Under Article I, Section 7(a)(2) of the Bylaws, notices of stockholder proposals or director nominations submitted outside the Rule 14a-8 process were required to be received no earlier than June 2, 2026 and no later than July 2, 2026. In addition, notices required under Rule 14a-19 were required to be received no later than August 1, 2026. No new or extended stockholder proposal or nomination deadline is being established by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press release announcing the updates above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75"/>
        <w:gridCol w:w="245"/>
        <w:gridCol w:w="7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25"/>
        <w:gridCol w:w="60"/>
        <w:gridCol w:w="7685"/>
      </w:tblGrid>
      <w:tr>
        <w:trPr/>
        <w:tc>
          <w:tcPr>
            <w:tcW w:w="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Exhibit</w:t>
              <w:br/>
              <w:t>No.</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Description</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22758d1_ex99-1.htm">
              <w:r>
                <w:rPr>
                  <w:rStyle w:val="InternetLink"/>
                  <w:rFonts w:ascii="Times New Roman;Times;Serif" w:hAnsi="Times New Roman;Times;Serif"/>
                </w:rPr>
                <w:t>99.1</w:t>
              </w:r>
            </w:hyperlink>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tm2622758d1_ex99-1.htm">
              <w:r>
                <w:rPr>
                  <w:rStyle w:val="InternetLink"/>
                  <w:rFonts w:ascii="Times New Roman;Times;Serif" w:hAnsi="Times New Roman;Times;Serif"/>
                </w:rPr>
                <w:t>Press Release</w:t>
              </w:r>
            </w:hyperlink>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4" w:type="dxa"/>
        <w:jc w:val="left"/>
        <w:tblInd w:w="0" w:type="dxa"/>
        <w:tblLayout w:type="fixed"/>
        <w:tblCellMar>
          <w:top w:w="0" w:type="dxa"/>
          <w:left w:w="0" w:type="dxa"/>
          <w:bottom w:w="0" w:type="dxa"/>
          <w:right w:w="0" w:type="dxa"/>
        </w:tblCellMar>
      </w:tblPr>
      <w:tblGrid>
        <w:gridCol w:w="463"/>
        <w:gridCol w:w="3606"/>
        <w:gridCol w:w="75"/>
      </w:tblGrid>
      <w:tr>
        <w:trPr/>
        <w:tc>
          <w:tcPr>
            <w:tcW w:w="406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HOWARD HUGHES HOLDINGS INC.</w:t>
            </w:r>
          </w:p>
        </w:tc>
        <w:tc>
          <w:tcPr>
            <w:tcW w:w="75" w:type="dxa"/>
            <w:tcBorders/>
            <w:vAlign w:val="center"/>
          </w:tcPr>
          <w:p>
            <w:pPr>
              <w:pStyle w:val="TableContents"/>
              <w:bidi w:val="0"/>
              <w:spacing w:before="0" w:after="283"/>
              <w:jc w:val="left"/>
              <w:rPr/>
            </w:pPr>
            <w:r>
              <w:rPr/>
              <w:t> </w:t>
            </w:r>
          </w:p>
        </w:tc>
      </w:tr>
      <w:tr>
        <w:trPr/>
        <w:tc>
          <w:tcPr>
            <w:tcW w:w="463" w:type="dxa"/>
            <w:tcBorders/>
            <w:vAlign w:val="center"/>
          </w:tcPr>
          <w:p>
            <w:pPr>
              <w:pStyle w:val="TableContents"/>
              <w:bidi w:val="0"/>
              <w:spacing w:before="0" w:after="283"/>
              <w:jc w:val="left"/>
              <w:rPr/>
            </w:pPr>
            <w:r>
              <w:rPr/>
              <w:t> </w:t>
            </w:r>
          </w:p>
        </w:tc>
        <w:tc>
          <w:tcPr>
            <w:tcW w:w="360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6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Joseph Valane</w:t>
            </w:r>
          </w:p>
        </w:tc>
        <w:tc>
          <w:tcPr>
            <w:tcW w:w="75" w:type="dxa"/>
            <w:tcBorders/>
            <w:vAlign w:val="center"/>
          </w:tcPr>
          <w:p>
            <w:pPr>
              <w:pStyle w:val="TableContents"/>
              <w:bidi w:val="0"/>
              <w:spacing w:before="0" w:after="283"/>
              <w:jc w:val="left"/>
              <w:rPr/>
            </w:pPr>
            <w:r>
              <w:rPr/>
              <w:t> </w:t>
            </w:r>
          </w:p>
        </w:tc>
      </w:tr>
      <w:tr>
        <w:trPr/>
        <w:tc>
          <w:tcPr>
            <w:tcW w:w="463" w:type="dxa"/>
            <w:tcBorders/>
            <w:vAlign w:val="center"/>
          </w:tcPr>
          <w:p>
            <w:pPr>
              <w:pStyle w:val="TableContents"/>
              <w:bidi w:val="0"/>
              <w:spacing w:before="0" w:after="283"/>
              <w:jc w:val="left"/>
              <w:rPr/>
            </w:pPr>
            <w:r>
              <w:rPr/>
              <w:t> </w:t>
            </w:r>
          </w:p>
        </w:tc>
        <w:tc>
          <w:tcPr>
            <w:tcW w:w="3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Valane</w:t>
            </w:r>
          </w:p>
        </w:tc>
        <w:tc>
          <w:tcPr>
            <w:tcW w:w="75" w:type="dxa"/>
            <w:tcBorders/>
            <w:vAlign w:val="center"/>
          </w:tcPr>
          <w:p>
            <w:pPr>
              <w:pStyle w:val="TableContents"/>
              <w:bidi w:val="0"/>
              <w:spacing w:before="0" w:after="283"/>
              <w:jc w:val="left"/>
              <w:rPr/>
            </w:pPr>
            <w:r>
              <w:rPr/>
              <w:t> </w:t>
            </w:r>
          </w:p>
        </w:tc>
      </w:tr>
      <w:tr>
        <w:trPr/>
        <w:tc>
          <w:tcPr>
            <w:tcW w:w="463" w:type="dxa"/>
            <w:tcBorders/>
            <w:vAlign w:val="center"/>
          </w:tcPr>
          <w:p>
            <w:pPr>
              <w:pStyle w:val="TableContents"/>
              <w:bidi w:val="0"/>
              <w:spacing w:before="0" w:after="283"/>
              <w:jc w:val="left"/>
              <w:rPr/>
            </w:pPr>
            <w:r>
              <w:rPr/>
              <w:t> </w:t>
            </w:r>
          </w:p>
        </w:tc>
        <w:tc>
          <w:tcPr>
            <w:tcW w:w="3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Counsel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jc w:val="left"/>
        <w:rPr/>
      </w:pPr>
      <w:bookmarkStart w:id="23" w:name="tm2622758d1_ex99-1.htm"/>
      <w:bookmarkStart w:id="24" w:name="kstm2622758d1_ex991"/>
      <w:bookmarkEnd w:id="23"/>
      <w:bookmarkEnd w:id="24"/>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66950" cy="1381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66950" cy="1381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HOWARD HUGHES HOLDINGS INC. TO HOST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SHAREHOLDER MEETING ON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Meeting to begin at 9 a.m. ET at 787 Seventh Avenue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WOODLANDS, Texas, August 11, 2026</w:t>
      </w:r>
      <w:r>
        <w:rPr>
          <w:rFonts w:ascii="Times New Roman;Times;Serif" w:hAnsi="Times New Roman;Times;Serif"/>
          <w:b w:val="false"/>
          <w:i w:val="false"/>
          <w:caps w:val="false"/>
          <w:smallCaps w:val="false"/>
          <w:sz w:val="20"/>
        </w:rPr>
        <w:t xml:space="preserve"> – Howard Hughes Holdings Inc. (NYSE: HHH) (the “Company”) announced today that its 2026 Shareholder Meeting will take place on Wednesday, September 30, 2026, in New York City. HHH Executive Chairman Bill Ackman and Chief Investment Officer Ryan Israel will provide shareholders and prospective investors with an update on the company's strategy, business priorities and long-term growth initiatives. They will be joined by HHH Chief Executive Officer David O’Reilly and Marc Grandisson, Executive Chairman of Vantage Group Holdings Ltd. The program will include a Q&amp;A session during which members of the audience will have an opportunity to ask questions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will begin at 9 a.m. ET at 787 Seventh Avenue in New York City. The meeting is open to the public; advance registration is required, and priority will be given to HHH stockholders. Only HHH stockholders of record as of Aug. 17, 2026, will be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Shareholder Meeting may be attended in person or via live webcast. To register, visit https://shareholdermeeting.howardhughes.com/.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Howard Hughes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Hughes Holdings Inc. (NYSE: HHH) is a diversified holding company focused on growing long-term shareholder value. Its principal subsidiaries are Vantage Group Holdings, a leading specialty insurance, reinsurance, and partnership capital platform, and Howard Hughes Communities™, one of the nation’s leading real estate platforms. HHH brings together long-duration capital, high-quality operating businesses, and disciplined capital allocation to build long-term value. For additional information visit www.howardhughes.com.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made in this press release that are not historical facts, including statements accompanied by words such as “anticipate,” “will,” “believe,” “expect,” “position,” “assume,” and other words of similar expression, are forward-looking statements within the meaning of the Private Securities Litigation Reform Act of 1995. These statements are based on management’s expectations, estimates, assumptions, and projections as of the date of this release and are not guarantees of future performance. Actual results may differ materially from those expressed or implied in these statements. Factors that could cause actual results to differ materially are set forth as risk factors in Howard Hughes Holdings Inc.’s filings with the Securities and Exchange Commission, including its Quarterly and Annual Reports. Howard Hughes Holdings Inc. cautions you not to place undue reliance on the forward-looking statements contained in this release. Howard Hughes Holdings Inc. does not undertake any obligation to publicly update or revise any forward-looking statements to reflect future events, information or circumstances that arise after the date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investorrelations@howardhughes.com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281-929-7700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press@howardhughes.com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281-929-7700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1343</Words>
  <Characters>7417</Characters>
  <CharactersWithSpaces>8773</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