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400"/>
        <w:spacing w:after="0" w:line="273"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194945</wp:posOffset>
            </wp:positionH>
            <wp:positionV relativeFrom="page">
              <wp:posOffset>144145</wp:posOffset>
            </wp:positionV>
            <wp:extent cx="71583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page">
              <wp:posOffset>194945</wp:posOffset>
            </wp:positionH>
            <wp:positionV relativeFrom="page">
              <wp:posOffset>451485</wp:posOffset>
            </wp:positionV>
            <wp:extent cx="71583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42545"/>
                    </a:xfrm>
                    <a:prstGeom prst="rect">
                      <a:avLst/>
                    </a:prstGeom>
                    <a:noFill/>
                  </pic:spPr>
                </pic:pic>
              </a:graphicData>
            </a:graphic>
          </wp:anchor>
        </w:drawing>
        <w:t>SECURITIES AND EXCHANGE COMMISSION Washington, D.C. 20549</w:t>
      </w:r>
    </w:p>
    <w:p>
      <w:pPr>
        <w:spacing w:after="0" w:line="200" w:lineRule="exact"/>
        <w:rPr>
          <w:sz w:val="24"/>
          <w:szCs w:val="24"/>
          <w:color w:val="auto"/>
        </w:rPr>
      </w:pPr>
    </w:p>
    <w:p>
      <w:pPr>
        <w:spacing w:after="0" w:line="20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3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 xml:space="preserve">(Amendment No. </w:t>
      </w:r>
      <w:r>
        <w:rPr>
          <w:rFonts w:ascii="Times New Roman" w:cs="Times New Roman" w:eastAsia="Times New Roman" w:hAnsi="Times New Roman"/>
          <w:sz w:val="21"/>
          <w:szCs w:val="21"/>
          <w:b w:val="1"/>
          <w:bCs w:val="1"/>
          <w:color w:val="0000FF"/>
        </w:rPr>
        <w:t>33</w:t>
      </w:r>
      <w:r>
        <w:rPr>
          <w:rFonts w:ascii="Times New Roman" w:cs="Times New Roman" w:eastAsia="Times New Roman" w:hAnsi="Times New Roman"/>
          <w:sz w:val="21"/>
          <w:szCs w:val="21"/>
          <w:b w:val="1"/>
          <w:bCs w:val="1"/>
          <w:color w:val="auto"/>
        </w:rPr>
        <w:t>)*</w:t>
      </w:r>
    </w:p>
    <w:p>
      <w:pPr>
        <w:spacing w:after="0" w:line="200" w:lineRule="exact"/>
        <w:rPr>
          <w:sz w:val="24"/>
          <w:szCs w:val="24"/>
          <w:color w:val="auto"/>
        </w:rPr>
      </w:pPr>
    </w:p>
    <w:p>
      <w:pPr>
        <w:spacing w:after="0" w:line="33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1"/>
          <w:szCs w:val="21"/>
          <w:b w:val="1"/>
          <w:bCs w:val="1"/>
          <w:color w:val="0000FF"/>
        </w:rPr>
        <w:t>Howard Hughes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75565</wp:posOffset>
            </wp:positionV>
            <wp:extent cx="605790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57900" cy="42545"/>
                    </a:xfrm>
                    <a:prstGeom prst="rect">
                      <a:avLst/>
                    </a:prstGeom>
                    <a:noFill/>
                  </pic:spPr>
                </pic:pic>
              </a:graphicData>
            </a:graphic>
          </wp:anchor>
        </w:drawing>
      </w:r>
    </w:p>
    <w:p>
      <w:pPr>
        <w:spacing w:after="0" w:line="2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1"/>
          <w:szCs w:val="21"/>
          <w:b w:val="1"/>
          <w:bCs w:val="1"/>
          <w:color w:val="auto"/>
        </w:rPr>
        <w:t>(Name of Issuer)</w:t>
      </w:r>
    </w:p>
    <w:p>
      <w:pPr>
        <w:spacing w:after="0" w:line="200" w:lineRule="exact"/>
        <w:rPr>
          <w:sz w:val="24"/>
          <w:szCs w:val="24"/>
          <w:color w:val="auto"/>
        </w:rPr>
      </w:pPr>
    </w:p>
    <w:p>
      <w:pPr>
        <w:spacing w:after="0" w:line="33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1"/>
          <w:szCs w:val="21"/>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75565</wp:posOffset>
            </wp:positionV>
            <wp:extent cx="605790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57900" cy="42545"/>
                    </a:xfrm>
                    <a:prstGeom prst="rect">
                      <a:avLst/>
                    </a:prstGeom>
                    <a:noFill/>
                  </pic:spPr>
                </pic:pic>
              </a:graphicData>
            </a:graphic>
          </wp:anchor>
        </w:drawing>
      </w:r>
    </w:p>
    <w:p>
      <w:pPr>
        <w:spacing w:after="0" w:line="22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1"/>
          <w:szCs w:val="21"/>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417195</wp:posOffset>
            </wp:positionV>
            <wp:extent cx="605790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790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1"/>
          <w:szCs w:val="21"/>
          <w:b w:val="1"/>
          <w:bCs w:val="1"/>
          <w:color w:val="auto"/>
        </w:rPr>
        <w:t>(CUSIP Number)</w:t>
      </w:r>
    </w:p>
    <w:p>
      <w:pPr>
        <w:spacing w:after="0" w:line="200" w:lineRule="exact"/>
        <w:rPr>
          <w:sz w:val="24"/>
          <w:szCs w:val="24"/>
          <w:color w:val="auto"/>
        </w:rPr>
      </w:pPr>
    </w:p>
    <w:p>
      <w:pPr>
        <w:spacing w:after="0" w:line="33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1"/>
          <w:szCs w:val="21"/>
          <w:b w:val="1"/>
          <w:bCs w:val="1"/>
          <w:color w:val="0000FF"/>
        </w:rPr>
        <w:t>Lukas Richards</w:t>
      </w:r>
    </w:p>
    <w:p>
      <w:pPr>
        <w:spacing w:after="0" w:line="2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1"/>
          <w:szCs w:val="21"/>
          <w:b w:val="1"/>
          <w:bCs w:val="1"/>
          <w:color w:val="0000FF"/>
        </w:rPr>
        <w:t>Pershing Square Capital Management, L.P., 787 Eleventh Avenue, 9th Floor</w:t>
      </w:r>
    </w:p>
    <w:p>
      <w:pPr>
        <w:jc w:val="center"/>
        <w:ind w:right="1660"/>
        <w:spacing w:after="0"/>
        <w:rPr>
          <w:sz w:val="20"/>
          <w:szCs w:val="20"/>
          <w:color w:val="auto"/>
        </w:rPr>
      </w:pPr>
      <w:r>
        <w:rPr>
          <w:rFonts w:ascii="Times New Roman" w:cs="Times New Roman" w:eastAsia="Times New Roman" w:hAnsi="Times New Roman"/>
          <w:sz w:val="21"/>
          <w:szCs w:val="21"/>
          <w:b w:val="1"/>
          <w:bCs w:val="1"/>
          <w:color w:val="0000FF"/>
        </w:rPr>
        <w:t>New York, NY, 10019</w:t>
      </w:r>
    </w:p>
    <w:p>
      <w:pPr>
        <w:jc w:val="center"/>
        <w:ind w:right="1660"/>
        <w:spacing w:after="0"/>
        <w:rPr>
          <w:sz w:val="20"/>
          <w:szCs w:val="20"/>
          <w:color w:val="auto"/>
        </w:rPr>
      </w:pPr>
      <w:r>
        <w:rPr>
          <w:rFonts w:ascii="Times New Roman" w:cs="Times New Roman" w:eastAsia="Times New Roman" w:hAnsi="Times New Roman"/>
          <w:sz w:val="21"/>
          <w:szCs w:val="21"/>
          <w:b w:val="1"/>
          <w:bCs w:val="1"/>
          <w:color w:val="0000FF"/>
        </w:rPr>
        <w:t>(212) 813-3700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57785</wp:posOffset>
            </wp:positionV>
            <wp:extent cx="605790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57900" cy="42545"/>
                    </a:xfrm>
                    <a:prstGeom prst="rect">
                      <a:avLst/>
                    </a:prstGeom>
                    <a:noFill/>
                  </pic:spPr>
                </pic:pic>
              </a:graphicData>
            </a:graphic>
          </wp:anchor>
        </w:drawing>
      </w:r>
    </w:p>
    <w:p>
      <w:pPr>
        <w:spacing w:after="0" w:line="194"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4"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1"/>
          <w:szCs w:val="21"/>
          <w:b w:val="1"/>
          <w:bCs w:val="1"/>
          <w:color w:val="0000FF"/>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75565</wp:posOffset>
            </wp:positionV>
            <wp:extent cx="60579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57900" cy="42545"/>
                    </a:xfrm>
                    <a:prstGeom prst="rect">
                      <a:avLst/>
                    </a:prstGeom>
                    <a:noFill/>
                  </pic:spPr>
                </pic:pic>
              </a:graphicData>
            </a:graphic>
          </wp:anchor>
        </w:drawing>
      </w:r>
    </w:p>
    <w:p>
      <w:pPr>
        <w:spacing w:after="0" w:line="222"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1"/>
          <w:szCs w:val="21"/>
          <w:b w:val="1"/>
          <w:bCs w:val="1"/>
          <w:color w:val="auto"/>
        </w:rPr>
        <w:t>(Date of Event Which Requires Filing of This Statement)</w:t>
      </w:r>
    </w:p>
    <w:p>
      <w:pPr>
        <w:spacing w:after="0" w:line="200" w:lineRule="exact"/>
        <w:rPr>
          <w:sz w:val="24"/>
          <w:szCs w:val="24"/>
          <w:color w:val="auto"/>
        </w:rPr>
      </w:pPr>
    </w:p>
    <w:p>
      <w:pPr>
        <w:spacing w:after="0" w:line="328" w:lineRule="exact"/>
        <w:rPr>
          <w:sz w:val="24"/>
          <w:szCs w:val="24"/>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270"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p>
    <w:p>
      <w:pPr>
        <w:spacing w:after="0" w:line="160"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37465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122555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4"/>
          <w:szCs w:val="24"/>
          <w:color w:val="auto"/>
        </w:rPr>
      </w:pPr>
    </w:p>
    <w:p>
      <w:pPr>
        <w:spacing w:after="0" w:line="36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1"/>
          <w:szCs w:val="21"/>
          <w:color w:val="auto"/>
        </w:rPr>
        <w:t>Name of reporting person</w:t>
      </w: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1</w:t>
      </w:r>
    </w:p>
    <w:p>
      <w:pPr>
        <w:ind w:left="1160"/>
        <w:spacing w:after="0"/>
        <w:rPr>
          <w:sz w:val="20"/>
          <w:szCs w:val="20"/>
          <w:color w:val="auto"/>
        </w:rPr>
      </w:pPr>
      <w:r>
        <w:rPr>
          <w:rFonts w:ascii="Times New Roman" w:cs="Times New Roman" w:eastAsia="Times New Roman" w:hAnsi="Times New Roman"/>
          <w:sz w:val="21"/>
          <w:szCs w:val="21"/>
          <w:color w:val="auto"/>
        </w:rPr>
        <w:t>Pershing Square Capital Management, L.P.</w:t>
      </w:r>
    </w:p>
    <w:p>
      <w:pPr>
        <w:spacing w:after="0" w:line="3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864" w:right="339" w:bottom="159" w:gutter="0" w:footer="0" w:header="0"/>
        </w:sectPr>
      </w:pPr>
    </w:p>
    <w:bookmarkStart w:id="1" w:name="page2"/>
    <w:bookmarkEnd w:id="1"/>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3</w:t>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4</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5</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Number of</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rPr>
          <w:sz w:val="20"/>
          <w:szCs w:val="20"/>
          <w:color w:val="auto"/>
        </w:rPr>
      </w:pPr>
      <w:r>
        <w:rPr>
          <w:rFonts w:ascii="Times New Roman" w:cs="Times New Roman" w:eastAsia="Times New Roman" w:hAnsi="Times New Roman"/>
          <w:sz w:val="21"/>
          <w:szCs w:val="21"/>
          <w:color w:val="auto"/>
        </w:rPr>
        <w:t>Owned by</w:t>
      </w:r>
    </w:p>
    <w:p>
      <w:pPr>
        <w:ind w:left="40"/>
        <w:spacing w:after="0"/>
        <w:rPr>
          <w:sz w:val="20"/>
          <w:szCs w:val="20"/>
          <w:color w:val="auto"/>
        </w:rPr>
      </w:pPr>
      <w:r>
        <w:rPr>
          <w:rFonts w:ascii="Times New Roman" w:cs="Times New Roman" w:eastAsia="Times New Roman" w:hAnsi="Times New Roman"/>
          <w:sz w:val="21"/>
          <w:szCs w:val="21"/>
          <w:color w:val="auto"/>
        </w:rPr>
        <w:t>Each</w:t>
      </w:r>
    </w:p>
    <w:p>
      <w:pPr>
        <w:ind w:left="40"/>
        <w:spacing w:after="0"/>
        <w:rPr>
          <w:sz w:val="20"/>
          <w:szCs w:val="20"/>
          <w:color w:val="auto"/>
        </w:rPr>
      </w:pPr>
      <w:r>
        <w:rPr>
          <w:rFonts w:ascii="Times New Roman" w:cs="Times New Roman" w:eastAsia="Times New Roman" w:hAnsi="Times New Roman"/>
          <w:sz w:val="21"/>
          <w:szCs w:val="21"/>
          <w:color w:val="auto"/>
        </w:rPr>
        <w:t>Reporting</w:t>
      </w:r>
    </w:p>
    <w:p>
      <w:pPr>
        <w:ind w:left="40"/>
        <w:spacing w:after="0"/>
        <w:rPr>
          <w:sz w:val="20"/>
          <w:szCs w:val="20"/>
          <w:color w:val="auto"/>
        </w:rPr>
      </w:pPr>
      <w:r>
        <w:rPr>
          <w:rFonts w:ascii="Times New Roman" w:cs="Times New Roman" w:eastAsia="Times New Roman" w:hAnsi="Times New Roman"/>
          <w:sz w:val="21"/>
          <w:szCs w:val="21"/>
          <w:color w:val="auto"/>
        </w:rPr>
        <w:t>Person</w:t>
      </w:r>
    </w:p>
    <w:p>
      <w:pPr>
        <w:ind w:left="40"/>
        <w:spacing w:after="0"/>
        <w:rPr>
          <w:sz w:val="20"/>
          <w:szCs w:val="20"/>
          <w:color w:val="auto"/>
        </w:rPr>
      </w:pPr>
      <w:r>
        <w:rPr>
          <w:rFonts w:ascii="Times New Roman" w:cs="Times New Roman" w:eastAsia="Times New Roman" w:hAnsi="Times New Roman"/>
          <w:sz w:val="21"/>
          <w:szCs w:val="21"/>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12</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13</w:t>
      </w: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270" cy="1282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w:t>
      </w:r>
    </w:p>
    <w:p>
      <w:pPr>
        <w:spacing w:after="0" w:line="22" w:lineRule="exact"/>
        <w:rPr>
          <w:sz w:val="20"/>
          <w:szCs w:val="20"/>
          <w:color w:val="auto"/>
        </w:rPr>
      </w:pPr>
    </w:p>
    <w:p>
      <w:pPr>
        <w:spacing w:after="0"/>
        <w:rPr>
          <w:sz w:val="20"/>
          <w:szCs w:val="20"/>
          <w:color w:val="auto"/>
        </w:rPr>
      </w:pPr>
      <w:r>
        <w:rPr>
          <w:sz w:val="1"/>
          <w:szCs w:val="1"/>
          <w:color w:val="auto"/>
        </w:rPr>
        <w:drawing>
          <wp:inline distT="0" distB="0" distL="0" distR="0">
            <wp:extent cx="128270"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(b)</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 use only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Source of funds (See Instructions)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270" cy="128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Citizenship or place of organization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Sole Voting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7</w:t>
      </w:r>
    </w:p>
    <w:p>
      <w:pPr>
        <w:ind w:left="320"/>
        <w:spacing w:after="0"/>
        <w:rPr>
          <w:sz w:val="20"/>
          <w:szCs w:val="20"/>
          <w:color w:val="auto"/>
        </w:rPr>
      </w:pPr>
      <w:r>
        <w:rPr>
          <w:rFonts w:ascii="Times New Roman" w:cs="Times New Roman" w:eastAsia="Times New Roman" w:hAnsi="Times New Roman"/>
          <w:sz w:val="21"/>
          <w:szCs w:val="21"/>
          <w:color w:val="auto"/>
        </w:rPr>
        <w:t>9,000,000.00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Shared Voting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w:t>
      </w:r>
    </w:p>
    <w:p>
      <w:pPr>
        <w:ind w:left="320"/>
        <w:spacing w:after="0"/>
        <w:rPr>
          <w:sz w:val="20"/>
          <w:szCs w:val="20"/>
          <w:color w:val="auto"/>
        </w:rPr>
      </w:pPr>
      <w:r>
        <w:rPr>
          <w:rFonts w:ascii="Times New Roman" w:cs="Times New Roman" w:eastAsia="Times New Roman" w:hAnsi="Times New Roman"/>
          <w:sz w:val="21"/>
          <w:szCs w:val="21"/>
          <w:color w:val="auto"/>
        </w:rPr>
        <w:t>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Sole Dispositive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9</w:t>
      </w:r>
    </w:p>
    <w:p>
      <w:pPr>
        <w:ind w:left="320"/>
        <w:spacing w:after="0"/>
        <w:rPr>
          <w:sz w:val="20"/>
          <w:szCs w:val="20"/>
          <w:color w:val="auto"/>
        </w:rPr>
      </w:pPr>
      <w:r>
        <w:rPr>
          <w:rFonts w:ascii="Times New Roman" w:cs="Times New Roman" w:eastAsia="Times New Roman" w:hAnsi="Times New Roman"/>
          <w:sz w:val="21"/>
          <w:szCs w:val="21"/>
          <w:color w:val="auto"/>
        </w:rPr>
        <w:t>9,000,000.00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Shared Dispositive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w:t>
      </w:r>
    </w:p>
    <w:p>
      <w:pPr>
        <w:ind w:left="320"/>
        <w:spacing w:after="0"/>
        <w:rPr>
          <w:sz w:val="20"/>
          <w:szCs w:val="20"/>
          <w:color w:val="auto"/>
        </w:rPr>
      </w:pPr>
      <w:r>
        <w:rPr>
          <w:rFonts w:ascii="Times New Roman" w:cs="Times New Roman" w:eastAsia="Times New Roman" w:hAnsi="Times New Roman"/>
          <w:sz w:val="21"/>
          <w:szCs w:val="21"/>
          <w:color w:val="auto"/>
        </w:rPr>
        <w:t>18,852,064.00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Aggregate amount beneficially owned by each reporting person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27,852,064.00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270"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Percent of class represented by amount in Row (11)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46.7 %</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25" w:right="359" w:bottom="0" w:gutter="0" w:footer="0" w:header="0"/>
        </w:sectPr>
      </w:pPr>
    </w:p>
    <w:p>
      <w:pPr>
        <w:spacing w:after="0" w:line="8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Item 13 Footnote: This calculation is based on 59,624,589 shares of Common Stock outstanding as of April 30, 2026, as reported in the Issuer's Quarterly Report on Form 10-Q for the quarter ended March 31, 2026 (the "Form 10-Q").</w:t>
      </w:r>
    </w:p>
    <w:p>
      <w:pPr>
        <w:spacing w:after="0" w:line="200" w:lineRule="exact"/>
        <w:rPr>
          <w:sz w:val="20"/>
          <w:szCs w:val="20"/>
          <w:color w:val="auto"/>
        </w:rPr>
      </w:pPr>
    </w:p>
    <w:p>
      <w:pPr>
        <w:sectPr>
          <w:pgSz w:w="11900" w:h="16838" w:orient="portrait"/>
          <w:cols w:equalWidth="0" w:num="2">
            <w:col w:w="1580" w:space="80"/>
            <w:col w:w="9560"/>
          </w:cols>
          <w:pgMar w:left="320" w:top="125" w:right="35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0"/>
          <w:szCs w:val="20"/>
          <w:color w:val="auto"/>
        </w:rPr>
      </w:pPr>
    </w:p>
    <w:p>
      <w:pPr>
        <w:spacing w:after="0" w:line="3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Name of reporting person</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w:t>
      </w:r>
    </w:p>
    <w:p>
      <w:pPr>
        <w:ind w:left="1160"/>
        <w:spacing w:after="0"/>
        <w:rPr>
          <w:sz w:val="20"/>
          <w:szCs w:val="20"/>
          <w:color w:val="auto"/>
        </w:rPr>
      </w:pPr>
      <w:r>
        <w:rPr>
          <w:rFonts w:ascii="Times New Roman" w:cs="Times New Roman" w:eastAsia="Times New Roman" w:hAnsi="Times New Roman"/>
          <w:sz w:val="21"/>
          <w:szCs w:val="21"/>
          <w:color w:val="auto"/>
        </w:rPr>
        <w:t>Pershing Square HHH Holdings, LLC</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1"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270"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270"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(b)</w:t>
      </w:r>
    </w:p>
    <w:p>
      <w:pPr>
        <w:spacing w:after="0" w:line="35"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 use only</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Source of funds (See Instructions)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4</w:t>
      </w:r>
    </w:p>
    <w:p>
      <w:pPr>
        <w:ind w:left="1160"/>
        <w:spacing w:after="0"/>
        <w:rPr>
          <w:sz w:val="20"/>
          <w:szCs w:val="20"/>
          <w:color w:val="auto"/>
        </w:rPr>
      </w:pPr>
      <w:r>
        <w:rPr>
          <w:rFonts w:ascii="Times New Roman" w:cs="Times New Roman" w:eastAsia="Times New Roman" w:hAnsi="Times New Roman"/>
          <w:sz w:val="21"/>
          <w:szCs w:val="21"/>
          <w:color w:val="auto"/>
        </w:rPr>
        <w:t>OO</w:t>
      </w:r>
    </w:p>
    <w:p>
      <w:pPr>
        <w:spacing w:after="0" w:line="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19685</wp:posOffset>
            </wp:positionV>
            <wp:extent cx="128270"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39"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or place of organization</w:t>
      </w:r>
    </w:p>
    <w:p>
      <w:pPr>
        <w:sectPr>
          <w:pgSz w:w="11900" w:h="16838" w:orient="portrait"/>
          <w:cols w:equalWidth="0" w:num="1">
            <w:col w:w="11220"/>
          </w:cols>
          <w:pgMar w:left="320" w:top="125" w:right="35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Number of</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rPr>
          <w:sz w:val="20"/>
          <w:szCs w:val="20"/>
          <w:color w:val="auto"/>
        </w:rPr>
      </w:pPr>
      <w:r>
        <w:rPr>
          <w:rFonts w:ascii="Times New Roman" w:cs="Times New Roman" w:eastAsia="Times New Roman" w:hAnsi="Times New Roman"/>
          <w:sz w:val="21"/>
          <w:szCs w:val="21"/>
          <w:color w:val="auto"/>
        </w:rPr>
        <w:t>Owned by</w:t>
      </w:r>
    </w:p>
    <w:p>
      <w:pPr>
        <w:ind w:left="40"/>
        <w:spacing w:after="0"/>
        <w:rPr>
          <w:sz w:val="20"/>
          <w:szCs w:val="20"/>
          <w:color w:val="auto"/>
        </w:rPr>
      </w:pPr>
      <w:r>
        <w:rPr>
          <w:rFonts w:ascii="Times New Roman" w:cs="Times New Roman" w:eastAsia="Times New Roman" w:hAnsi="Times New Roman"/>
          <w:sz w:val="21"/>
          <w:szCs w:val="21"/>
          <w:color w:val="auto"/>
        </w:rPr>
        <w:t>Each</w:t>
      </w:r>
    </w:p>
    <w:p>
      <w:pPr>
        <w:ind w:left="40"/>
        <w:spacing w:after="0"/>
        <w:rPr>
          <w:sz w:val="20"/>
          <w:szCs w:val="20"/>
          <w:color w:val="auto"/>
        </w:rPr>
      </w:pPr>
      <w:r>
        <w:rPr>
          <w:rFonts w:ascii="Times New Roman" w:cs="Times New Roman" w:eastAsia="Times New Roman" w:hAnsi="Times New Roman"/>
          <w:sz w:val="21"/>
          <w:szCs w:val="21"/>
          <w:color w:val="auto"/>
        </w:rPr>
        <w:t>Reporting</w:t>
      </w:r>
    </w:p>
    <w:p>
      <w:pPr>
        <w:ind w:left="40"/>
        <w:spacing w:after="0"/>
        <w:rPr>
          <w:sz w:val="20"/>
          <w:szCs w:val="20"/>
          <w:color w:val="auto"/>
        </w:rPr>
      </w:pPr>
      <w:r>
        <w:rPr>
          <w:rFonts w:ascii="Times New Roman" w:cs="Times New Roman" w:eastAsia="Times New Roman" w:hAnsi="Times New Roman"/>
          <w:sz w:val="21"/>
          <w:szCs w:val="21"/>
          <w:color w:val="auto"/>
        </w:rPr>
        <w:t>Person</w:t>
      </w:r>
    </w:p>
    <w:p>
      <w:pPr>
        <w:ind w:left="40"/>
        <w:spacing w:after="0"/>
        <w:rPr>
          <w:sz w:val="20"/>
          <w:szCs w:val="20"/>
          <w:color w:val="auto"/>
        </w:rPr>
      </w:pPr>
      <w:r>
        <w:rPr>
          <w:rFonts w:ascii="Times New Roman" w:cs="Times New Roman" w:eastAsia="Times New Roman" w:hAnsi="Times New Roman"/>
          <w:sz w:val="21"/>
          <w:szCs w:val="21"/>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12</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13</w:t>
      </w: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NEVADA</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Sole Voting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7</w:t>
      </w:r>
    </w:p>
    <w:p>
      <w:pPr>
        <w:ind w:left="320"/>
        <w:spacing w:after="0"/>
        <w:rPr>
          <w:sz w:val="20"/>
          <w:szCs w:val="20"/>
          <w:color w:val="auto"/>
        </w:rPr>
      </w:pPr>
      <w:r>
        <w:rPr>
          <w:rFonts w:ascii="Times New Roman" w:cs="Times New Roman" w:eastAsia="Times New Roman" w:hAnsi="Times New Roman"/>
          <w:sz w:val="21"/>
          <w:szCs w:val="21"/>
          <w:color w:val="auto"/>
        </w:rPr>
        <w:t>9,000,000.00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Shared Voting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w:t>
      </w:r>
    </w:p>
    <w:p>
      <w:pPr>
        <w:ind w:left="320"/>
        <w:spacing w:after="0"/>
        <w:rPr>
          <w:sz w:val="20"/>
          <w:szCs w:val="20"/>
          <w:color w:val="auto"/>
        </w:rPr>
      </w:pPr>
      <w:r>
        <w:rPr>
          <w:rFonts w:ascii="Times New Roman" w:cs="Times New Roman" w:eastAsia="Times New Roman" w:hAnsi="Times New Roman"/>
          <w:sz w:val="21"/>
          <w:szCs w:val="21"/>
          <w:color w:val="auto"/>
        </w:rPr>
        <w:t>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Sole Dispositive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9</w:t>
      </w:r>
    </w:p>
    <w:p>
      <w:pPr>
        <w:ind w:left="320"/>
        <w:spacing w:after="0"/>
        <w:rPr>
          <w:sz w:val="20"/>
          <w:szCs w:val="20"/>
          <w:color w:val="auto"/>
        </w:rPr>
      </w:pPr>
      <w:r>
        <w:rPr>
          <w:rFonts w:ascii="Times New Roman" w:cs="Times New Roman" w:eastAsia="Times New Roman" w:hAnsi="Times New Roman"/>
          <w:sz w:val="21"/>
          <w:szCs w:val="21"/>
          <w:color w:val="auto"/>
        </w:rPr>
        <w:t>9,000,000.00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Shared Dispositive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w:t>
      </w:r>
    </w:p>
    <w:p>
      <w:pPr>
        <w:ind w:left="320"/>
        <w:spacing w:after="0"/>
        <w:rPr>
          <w:sz w:val="20"/>
          <w:szCs w:val="20"/>
          <w:color w:val="auto"/>
        </w:rPr>
      </w:pPr>
      <w:r>
        <w:rPr>
          <w:rFonts w:ascii="Times New Roman" w:cs="Times New Roman" w:eastAsia="Times New Roman" w:hAnsi="Times New Roman"/>
          <w:sz w:val="21"/>
          <w:szCs w:val="21"/>
          <w:color w:val="auto"/>
        </w:rPr>
        <w:t>0.00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Aggregate amount beneficially owned by each reporting person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9,000,000.00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270"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Percent of class represented by amount in Row (11)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15.1 %</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354" w:right="339" w:bottom="0" w:gutter="0" w:footer="0" w:header="0"/>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Item 13 Footnote: This calculation is based on 59,624,589 shares of Common Stock outstanding as of</w:t>
            </w:r>
          </w:p>
        </w:tc>
      </w:tr>
      <w:tr>
        <w:trPr>
          <w:trHeight w:val="289"/>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April 30, 2026, as reported in the Form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0"/>
          <w:szCs w:val="20"/>
          <w:color w:val="auto"/>
        </w:rPr>
      </w:pPr>
    </w:p>
    <w:p>
      <w:pPr>
        <w:spacing w:after="0" w:line="3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Name of reporting person</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w:t>
      </w:r>
    </w:p>
    <w:p>
      <w:pPr>
        <w:ind w:left="1160"/>
        <w:spacing w:after="0"/>
        <w:rPr>
          <w:sz w:val="20"/>
          <w:szCs w:val="20"/>
          <w:color w:val="auto"/>
        </w:rPr>
      </w:pPr>
      <w:r>
        <w:rPr>
          <w:rFonts w:ascii="Times New Roman" w:cs="Times New Roman" w:eastAsia="Times New Roman" w:hAnsi="Times New Roman"/>
          <w:sz w:val="21"/>
          <w:szCs w:val="21"/>
          <w:color w:val="auto"/>
        </w:rPr>
        <w:t>Pershing Square Inc.</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1"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270"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270"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(b)</w:t>
      </w:r>
    </w:p>
    <w:p>
      <w:pPr>
        <w:spacing w:after="0" w:line="3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 use only</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Source of funds (See Instructions)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4</w:t>
      </w:r>
    </w:p>
    <w:tbl>
      <w:tblPr>
        <w:tblLayout w:type="fixed"/>
        <w:tblInd w:w="40" w:type="dxa"/>
        <w:tblCellMar>
          <w:top w:w="0" w:type="dxa"/>
          <w:left w:w="0" w:type="dxa"/>
          <w:bottom w:w="0" w:type="dxa"/>
          <w:right w:w="0" w:type="dxa"/>
        </w:tblCellMar>
      </w:tblPr>
      <w:tr>
        <w:trPr>
          <w:trHeight w:val="272"/>
        </w:trPr>
        <w:tc>
          <w:tcPr>
            <w:tcW w:w="1100" w:type="dxa"/>
            <w:vAlign w:val="bottom"/>
          </w:tcPr>
          <w:p>
            <w:pPr>
              <w:spacing w:after="0"/>
              <w:rPr>
                <w:sz w:val="23"/>
                <w:szCs w:val="23"/>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OO</w:t>
            </w:r>
          </w:p>
        </w:tc>
        <w:tc>
          <w:tcPr>
            <w:tcW w:w="0" w:type="dxa"/>
            <w:vAlign w:val="bottom"/>
          </w:tcPr>
          <w:p>
            <w:pPr>
              <w:spacing w:after="0"/>
              <w:rPr>
                <w:sz w:val="1"/>
                <w:szCs w:val="1"/>
                <w:color w:val="auto"/>
              </w:rPr>
            </w:pPr>
          </w:p>
        </w:tc>
      </w:tr>
      <w:tr>
        <w:trPr>
          <w:trHeight w:val="280"/>
        </w:trPr>
        <w:tc>
          <w:tcPr>
            <w:tcW w:w="11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5</w:t>
            </w:r>
          </w:p>
        </w:tc>
        <w:tc>
          <w:tcPr>
            <w:tcW w:w="7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15"/>
        </w:trPr>
        <w:tc>
          <w:tcPr>
            <w:tcW w:w="1100" w:type="dxa"/>
            <w:vAlign w:val="bottom"/>
            <w:vMerge w:val="continue"/>
          </w:tcPr>
          <w:p>
            <w:pPr>
              <w:spacing w:after="0"/>
              <w:rPr>
                <w:sz w:val="18"/>
                <w:szCs w:val="18"/>
                <w:color w:val="auto"/>
              </w:rPr>
            </w:pPr>
          </w:p>
        </w:tc>
        <w:tc>
          <w:tcPr>
            <w:tcW w:w="7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4"/>
        </w:trPr>
        <w:tc>
          <w:tcPr>
            <w:tcW w:w="11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6</w:t>
            </w:r>
          </w:p>
        </w:tc>
        <w:tc>
          <w:tcPr>
            <w:tcW w:w="70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Citizenship or place of organization</w:t>
            </w:r>
          </w:p>
        </w:tc>
        <w:tc>
          <w:tcPr>
            <w:tcW w:w="0" w:type="dxa"/>
            <w:vAlign w:val="bottom"/>
          </w:tcPr>
          <w:p>
            <w:pPr>
              <w:spacing w:after="0"/>
              <w:rPr>
                <w:sz w:val="1"/>
                <w:szCs w:val="1"/>
                <w:color w:val="auto"/>
              </w:rPr>
            </w:pPr>
          </w:p>
        </w:tc>
      </w:tr>
      <w:tr>
        <w:trPr>
          <w:trHeight w:val="242"/>
        </w:trPr>
        <w:tc>
          <w:tcPr>
            <w:tcW w:w="1100" w:type="dxa"/>
            <w:vAlign w:val="bottom"/>
            <w:vMerge w:val="continue"/>
          </w:tcPr>
          <w:p>
            <w:pPr>
              <w:spacing w:after="0"/>
              <w:rPr>
                <w:sz w:val="21"/>
                <w:szCs w:val="21"/>
                <w:color w:val="auto"/>
              </w:rPr>
            </w:pPr>
          </w:p>
        </w:tc>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rPr>
              <w:t>NEVADA</w:t>
            </w:r>
          </w:p>
        </w:tc>
        <w:tc>
          <w:tcPr>
            <w:tcW w:w="0" w:type="dxa"/>
            <w:vAlign w:val="bottom"/>
          </w:tcPr>
          <w:p>
            <w:pPr>
              <w:spacing w:after="0"/>
              <w:rPr>
                <w:sz w:val="1"/>
                <w:szCs w:val="1"/>
                <w:color w:val="auto"/>
              </w:rPr>
            </w:pPr>
          </w:p>
        </w:tc>
      </w:tr>
      <w:tr>
        <w:trPr>
          <w:trHeight w:val="242"/>
        </w:trPr>
        <w:tc>
          <w:tcPr>
            <w:tcW w:w="1100" w:type="dxa"/>
            <w:vAlign w:val="bottom"/>
          </w:tcPr>
          <w:p>
            <w:pPr>
              <w:spacing w:after="0"/>
              <w:rPr>
                <w:sz w:val="21"/>
                <w:szCs w:val="21"/>
                <w:color w:val="auto"/>
              </w:rPr>
            </w:pPr>
          </w:p>
        </w:tc>
        <w:tc>
          <w:tcPr>
            <w:tcW w:w="7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auto"/>
              </w:rPr>
              <w:t>Number of</w:t>
            </w:r>
          </w:p>
        </w:tc>
        <w:tc>
          <w:tcPr>
            <w:tcW w:w="704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Sole Voting Power</w:t>
            </w:r>
          </w:p>
        </w:tc>
        <w:tc>
          <w:tcPr>
            <w:tcW w:w="0" w:type="dxa"/>
            <w:vAlign w:val="bottom"/>
          </w:tcPr>
          <w:p>
            <w:pPr>
              <w:spacing w:after="0"/>
              <w:rPr>
                <w:sz w:val="1"/>
                <w:szCs w:val="1"/>
                <w:color w:val="auto"/>
              </w:rPr>
            </w:pPr>
          </w:p>
        </w:tc>
      </w:tr>
      <w:tr>
        <w:trPr>
          <w:trHeight w:val="242"/>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auto"/>
              </w:rPr>
              <w:t>Shares</w:t>
            </w:r>
          </w:p>
        </w:tc>
        <w:tc>
          <w:tcPr>
            <w:tcW w:w="704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7</w:t>
            </w:r>
          </w:p>
        </w:tc>
        <w:tc>
          <w:tcPr>
            <w:tcW w:w="0" w:type="dxa"/>
            <w:vAlign w:val="bottom"/>
          </w:tcPr>
          <w:p>
            <w:pPr>
              <w:spacing w:after="0"/>
              <w:rPr>
                <w:sz w:val="1"/>
                <w:szCs w:val="1"/>
                <w:color w:val="auto"/>
              </w:rPr>
            </w:pPr>
          </w:p>
        </w:tc>
      </w:tr>
      <w:tr>
        <w:trPr>
          <w:trHeight w:val="242"/>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auto"/>
              </w:rPr>
              <w:t>Beneficially</w:t>
            </w:r>
          </w:p>
        </w:tc>
        <w:tc>
          <w:tcPr>
            <w:tcW w:w="704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9,000,000.00</w:t>
            </w:r>
          </w:p>
        </w:tc>
        <w:tc>
          <w:tcPr>
            <w:tcW w:w="0" w:type="dxa"/>
            <w:vAlign w:val="bottom"/>
          </w:tcPr>
          <w:p>
            <w:pPr>
              <w:spacing w:after="0"/>
              <w:rPr>
                <w:sz w:val="1"/>
                <w:szCs w:val="1"/>
                <w:color w:val="auto"/>
              </w:rPr>
            </w:pPr>
          </w:p>
        </w:tc>
      </w:tr>
      <w:tr>
        <w:trPr>
          <w:trHeight w:val="228"/>
        </w:trPr>
        <w:tc>
          <w:tcPr>
            <w:tcW w:w="110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Owned by</w:t>
            </w:r>
          </w:p>
        </w:tc>
        <w:tc>
          <w:tcPr>
            <w:tcW w:w="7040" w:type="dxa"/>
            <w:vAlign w:val="bottom"/>
            <w:vMerge w:val="restart"/>
          </w:tcPr>
          <w:p>
            <w:pPr>
              <w:ind w:left="340"/>
              <w:spacing w:after="0"/>
              <w:rPr>
                <w:sz w:val="20"/>
                <w:szCs w:val="20"/>
                <w:color w:val="auto"/>
              </w:rPr>
            </w:pPr>
            <w:r>
              <w:rPr>
                <w:rFonts w:ascii="Times New Roman" w:cs="Times New Roman" w:eastAsia="Times New Roman" w:hAnsi="Times New Roman"/>
                <w:sz w:val="21"/>
                <w:szCs w:val="21"/>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Each</w:t>
            </w:r>
          </w:p>
        </w:tc>
        <w:tc>
          <w:tcPr>
            <w:tcW w:w="7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40" w:type="dxa"/>
            <w:vAlign w:val="bottom"/>
            <w:vMerge w:val="restart"/>
          </w:tcPr>
          <w:p>
            <w:pPr>
              <w:ind w:left="60"/>
              <w:spacing w:after="0"/>
              <w:rPr>
                <w:sz w:val="20"/>
                <w:szCs w:val="20"/>
                <w:color w:val="auto"/>
              </w:rPr>
            </w:pPr>
            <w:r>
              <w:rPr>
                <w:rFonts w:ascii="Times New Roman" w:cs="Times New Roman" w:eastAsia="Times New Roman" w:hAnsi="Times New Roman"/>
                <w:sz w:val="21"/>
                <w:szCs w:val="21"/>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Reporting</w:t>
            </w:r>
          </w:p>
        </w:tc>
        <w:tc>
          <w:tcPr>
            <w:tcW w:w="7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40" w:type="dxa"/>
            <w:vAlign w:val="bottom"/>
            <w:vMerge w:val="restart"/>
          </w:tcPr>
          <w:p>
            <w:pPr>
              <w:ind w:left="340"/>
              <w:spacing w:after="0"/>
              <w:rPr>
                <w:sz w:val="20"/>
                <w:szCs w:val="20"/>
                <w:color w:val="auto"/>
              </w:rPr>
            </w:pPr>
            <w:r>
              <w:rPr>
                <w:rFonts w:ascii="Times New Roman" w:cs="Times New Roman" w:eastAsia="Times New Roman" w:hAnsi="Times New Roman"/>
                <w:sz w:val="21"/>
                <w:szCs w:val="21"/>
                <w:color w:val="auto"/>
              </w:rPr>
              <w:t>18,852,064.00</w:t>
            </w:r>
          </w:p>
        </w:tc>
        <w:tc>
          <w:tcPr>
            <w:tcW w:w="0" w:type="dxa"/>
            <w:vAlign w:val="bottom"/>
          </w:tcPr>
          <w:p>
            <w:pPr>
              <w:spacing w:after="0"/>
              <w:rPr>
                <w:sz w:val="1"/>
                <w:szCs w:val="1"/>
                <w:color w:val="auto"/>
              </w:rPr>
            </w:pPr>
          </w:p>
        </w:tc>
      </w:tr>
      <w:tr>
        <w:trPr>
          <w:trHeight w:val="132"/>
        </w:trPr>
        <w:tc>
          <w:tcPr>
            <w:tcW w:w="11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Person</w:t>
            </w:r>
          </w:p>
        </w:tc>
        <w:tc>
          <w:tcPr>
            <w:tcW w:w="7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100" w:type="dxa"/>
            <w:vAlign w:val="bottom"/>
            <w:vMerge w:val="continue"/>
          </w:tcPr>
          <w:p>
            <w:pPr>
              <w:spacing w:after="0"/>
              <w:rPr>
                <w:sz w:val="9"/>
                <w:szCs w:val="9"/>
                <w:color w:val="auto"/>
              </w:rPr>
            </w:pPr>
          </w:p>
        </w:tc>
        <w:tc>
          <w:tcPr>
            <w:tcW w:w="7040" w:type="dxa"/>
            <w:vAlign w:val="bottom"/>
            <w:vMerge w:val="restart"/>
          </w:tcPr>
          <w:p>
            <w:pPr>
              <w:ind w:left="340"/>
              <w:spacing w:after="0"/>
              <w:rPr>
                <w:sz w:val="20"/>
                <w:szCs w:val="20"/>
                <w:color w:val="auto"/>
              </w:rPr>
            </w:pPr>
            <w:r>
              <w:rPr>
                <w:rFonts w:ascii="Times New Roman" w:cs="Times New Roman" w:eastAsia="Times New Roman" w:hAnsi="Times New Roman"/>
                <w:sz w:val="21"/>
                <w:szCs w:val="21"/>
                <w:color w:val="auto"/>
              </w:rPr>
              <w:t>Sole Dispositive Power</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With:</w:t>
            </w:r>
          </w:p>
        </w:tc>
        <w:tc>
          <w:tcPr>
            <w:tcW w:w="7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00" w:type="dxa"/>
            <w:vAlign w:val="bottom"/>
            <w:vMerge w:val="continue"/>
          </w:tcPr>
          <w:p>
            <w:pPr>
              <w:spacing w:after="0"/>
              <w:rPr>
                <w:sz w:val="11"/>
                <w:szCs w:val="11"/>
                <w:color w:val="auto"/>
              </w:rPr>
            </w:pPr>
          </w:p>
        </w:tc>
        <w:tc>
          <w:tcPr>
            <w:tcW w:w="7040" w:type="dxa"/>
            <w:vAlign w:val="bottom"/>
            <w:vMerge w:val="restart"/>
          </w:tcPr>
          <w:p>
            <w:pPr>
              <w:ind w:left="60"/>
              <w:spacing w:after="0"/>
              <w:rPr>
                <w:sz w:val="20"/>
                <w:szCs w:val="20"/>
                <w:color w:val="auto"/>
              </w:rPr>
            </w:pPr>
            <w:r>
              <w:rPr>
                <w:rFonts w:ascii="Times New Roman" w:cs="Times New Roman" w:eastAsia="Times New Roman" w:hAnsi="Times New Roman"/>
                <w:sz w:val="21"/>
                <w:szCs w:val="21"/>
                <w:color w:val="auto"/>
              </w:rPr>
              <w:t>9</w:t>
            </w:r>
          </w:p>
        </w:tc>
        <w:tc>
          <w:tcPr>
            <w:tcW w:w="0" w:type="dxa"/>
            <w:vAlign w:val="bottom"/>
          </w:tcPr>
          <w:p>
            <w:pPr>
              <w:spacing w:after="0"/>
              <w:rPr>
                <w:sz w:val="1"/>
                <w:szCs w:val="1"/>
                <w:color w:val="auto"/>
              </w:rPr>
            </w:pPr>
          </w:p>
        </w:tc>
      </w:tr>
      <w:tr>
        <w:trPr>
          <w:trHeight w:val="110"/>
        </w:trPr>
        <w:tc>
          <w:tcPr>
            <w:tcW w:w="1100" w:type="dxa"/>
            <w:vAlign w:val="bottom"/>
          </w:tcPr>
          <w:p>
            <w:pPr>
              <w:spacing w:after="0"/>
              <w:rPr>
                <w:sz w:val="9"/>
                <w:szCs w:val="9"/>
                <w:color w:val="auto"/>
              </w:rPr>
            </w:pPr>
          </w:p>
        </w:tc>
        <w:tc>
          <w:tcPr>
            <w:tcW w:w="7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1100" w:type="dxa"/>
            <w:vAlign w:val="bottom"/>
          </w:tcPr>
          <w:p>
            <w:pPr>
              <w:spacing w:after="0"/>
              <w:rPr>
                <w:sz w:val="24"/>
                <w:szCs w:val="24"/>
                <w:color w:val="auto"/>
              </w:rPr>
            </w:pPr>
          </w:p>
        </w:tc>
        <w:tc>
          <w:tcPr>
            <w:tcW w:w="704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9,000,000.00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-2138680</wp:posOffset>
            </wp:positionV>
            <wp:extent cx="128270"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ectPr>
          <w:pgSz w:w="11900" w:h="16838" w:orient="portrait"/>
          <w:cols w:equalWidth="0" w:num="1">
            <w:col w:w="11240"/>
          </w:cols>
          <w:pgMar w:left="320" w:top="354" w:right="339" w:bottom="0" w:gutter="0" w:footer="0" w:header="0"/>
          <w:type w:val="continuous"/>
        </w:sectPr>
      </w:pPr>
    </w:p>
    <w:bookmarkStart w:id="3" w:name="page4"/>
    <w:bookmarkEnd w:id="3"/>
    <w:p>
      <w:pPr>
        <w:ind w:left="1200"/>
        <w:spacing w:after="0"/>
        <w:rPr>
          <w:sz w:val="20"/>
          <w:szCs w:val="20"/>
          <w:color w:val="auto"/>
        </w:rPr>
      </w:pPr>
      <w:r>
        <w:rPr>
          <w:rFonts w:ascii="Times New Roman" w:cs="Times New Roman" w:eastAsia="Times New Roman" w:hAnsi="Times New Roman"/>
          <w:sz w:val="21"/>
          <w:szCs w:val="21"/>
          <w:color w:val="auto"/>
        </w:rPr>
        <w:t>10 Shared Dispositive Power</w:t>
      </w:r>
    </w:p>
    <w:p>
      <w:pPr>
        <w:spacing w:after="0" w:line="2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color w:val="auto"/>
        </w:rPr>
        <w:t>18,852,064.00</w:t>
      </w:r>
    </w:p>
    <w:p>
      <w:pPr>
        <w:spacing w:after="0" w:line="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Aggregate amount beneficially owned by each reporting person</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w:t>
      </w:r>
    </w:p>
    <w:p>
      <w:pPr>
        <w:ind w:left="1160"/>
        <w:spacing w:after="0"/>
        <w:rPr>
          <w:sz w:val="20"/>
          <w:szCs w:val="20"/>
          <w:color w:val="auto"/>
        </w:rPr>
      </w:pPr>
      <w:r>
        <w:rPr>
          <w:rFonts w:ascii="Times New Roman" w:cs="Times New Roman" w:eastAsia="Times New Roman" w:hAnsi="Times New Roman"/>
          <w:sz w:val="21"/>
          <w:szCs w:val="21"/>
          <w:color w:val="auto"/>
        </w:rPr>
        <w:t>27,852,064.00</w:t>
      </w:r>
    </w:p>
    <w:p>
      <w:pPr>
        <w:spacing w:after="0" w:line="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19685</wp:posOffset>
            </wp:positionV>
            <wp:extent cx="12827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Percent of class represented by amount in Row (11)</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13</w:t>
      </w:r>
    </w:p>
    <w:p>
      <w:pPr>
        <w:ind w:left="1160"/>
        <w:spacing w:after="0"/>
        <w:rPr>
          <w:sz w:val="20"/>
          <w:szCs w:val="20"/>
          <w:color w:val="auto"/>
        </w:rPr>
      </w:pPr>
      <w:r>
        <w:rPr>
          <w:rFonts w:ascii="Times New Roman" w:cs="Times New Roman" w:eastAsia="Times New Roman" w:hAnsi="Times New Roman"/>
          <w:sz w:val="21"/>
          <w:szCs w:val="21"/>
          <w:color w:val="auto"/>
        </w:rPr>
        <w:t>46.7 %</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w:t>
      </w:r>
    </w:p>
    <w:tbl>
      <w:tblPr>
        <w:tblLayout w:type="fixed"/>
        <w:tblInd w:w="0" w:type="dxa"/>
        <w:tblCellMar>
          <w:top w:w="0" w:type="dxa"/>
          <w:left w:w="0" w:type="dxa"/>
          <w:bottom w:w="0" w:type="dxa"/>
          <w:right w:w="0" w:type="dxa"/>
        </w:tblCellMar>
      </w:tblPr>
      <w:tr>
        <w:trPr>
          <w:trHeight w:val="280"/>
        </w:trPr>
        <w:tc>
          <w:tcPr>
            <w:tcW w:w="2080" w:type="dxa"/>
            <w:vAlign w:val="bottom"/>
          </w:tcPr>
          <w:p>
            <w:pPr>
              <w:ind w:left="1160"/>
              <w:spacing w:after="0"/>
              <w:rPr>
                <w:sz w:val="20"/>
                <w:szCs w:val="20"/>
                <w:color w:val="auto"/>
              </w:rPr>
            </w:pPr>
            <w:r>
              <w:rPr>
                <w:rFonts w:ascii="Times New Roman" w:cs="Times New Roman" w:eastAsia="Times New Roman" w:hAnsi="Times New Roman"/>
                <w:sz w:val="21"/>
                <w:szCs w:val="21"/>
                <w:color w:val="auto"/>
              </w:rPr>
              <w:t>CO</w:t>
            </w:r>
          </w:p>
        </w:tc>
        <w:tc>
          <w:tcPr>
            <w:tcW w:w="9160" w:type="dxa"/>
            <w:vAlign w:val="bottom"/>
          </w:tcPr>
          <w:p>
            <w:pPr>
              <w:spacing w:after="0"/>
              <w:rPr>
                <w:sz w:val="24"/>
                <w:szCs w:val="24"/>
                <w:color w:val="auto"/>
              </w:rPr>
            </w:pPr>
          </w:p>
        </w:tc>
      </w:tr>
      <w:tr>
        <w:trPr>
          <w:trHeight w:val="4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Item 13 Footnote: This calculation is based on 59,624,589 shares of Common Stock outstanding as of</w:t>
            </w:r>
          </w:p>
        </w:tc>
      </w:tr>
      <w:tr>
        <w:trPr>
          <w:trHeight w:val="289"/>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April 30, 2026, as reported in the Form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0"/>
          <w:szCs w:val="20"/>
          <w:color w:val="auto"/>
        </w:rPr>
      </w:pPr>
    </w:p>
    <w:p>
      <w:pPr>
        <w:spacing w:after="0" w:line="3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Name of reporting person</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w:t>
      </w:r>
    </w:p>
    <w:p>
      <w:pPr>
        <w:ind w:left="1160"/>
        <w:spacing w:after="0"/>
        <w:rPr>
          <w:sz w:val="20"/>
          <w:szCs w:val="20"/>
          <w:color w:val="auto"/>
        </w:rPr>
      </w:pPr>
      <w:r>
        <w:rPr>
          <w:rFonts w:ascii="Times New Roman" w:cs="Times New Roman" w:eastAsia="Times New Roman" w:hAnsi="Times New Roman"/>
          <w:sz w:val="21"/>
          <w:szCs w:val="21"/>
          <w:color w:val="auto"/>
        </w:rPr>
        <w:t>Pershing Square Partner Group, LLC</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38" w:gutter="0" w:footer="0" w:header="0"/>
        </w:sectPr>
      </w:pP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3</w:t>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4</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5</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Number of</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rPr>
          <w:sz w:val="20"/>
          <w:szCs w:val="20"/>
          <w:color w:val="auto"/>
        </w:rPr>
      </w:pPr>
      <w:r>
        <w:rPr>
          <w:rFonts w:ascii="Times New Roman" w:cs="Times New Roman" w:eastAsia="Times New Roman" w:hAnsi="Times New Roman"/>
          <w:sz w:val="21"/>
          <w:szCs w:val="21"/>
          <w:color w:val="auto"/>
        </w:rPr>
        <w:t>Owned by</w:t>
      </w:r>
    </w:p>
    <w:p>
      <w:pPr>
        <w:ind w:left="40"/>
        <w:spacing w:after="0"/>
        <w:rPr>
          <w:sz w:val="20"/>
          <w:szCs w:val="20"/>
          <w:color w:val="auto"/>
        </w:rPr>
      </w:pPr>
      <w:r>
        <w:rPr>
          <w:rFonts w:ascii="Times New Roman" w:cs="Times New Roman" w:eastAsia="Times New Roman" w:hAnsi="Times New Roman"/>
          <w:sz w:val="21"/>
          <w:szCs w:val="21"/>
          <w:color w:val="auto"/>
        </w:rPr>
        <w:t>Each</w:t>
      </w:r>
    </w:p>
    <w:p>
      <w:pPr>
        <w:ind w:left="40"/>
        <w:spacing w:after="0"/>
        <w:rPr>
          <w:sz w:val="20"/>
          <w:szCs w:val="20"/>
          <w:color w:val="auto"/>
        </w:rPr>
      </w:pPr>
      <w:r>
        <w:rPr>
          <w:rFonts w:ascii="Times New Roman" w:cs="Times New Roman" w:eastAsia="Times New Roman" w:hAnsi="Times New Roman"/>
          <w:sz w:val="21"/>
          <w:szCs w:val="21"/>
          <w:color w:val="auto"/>
        </w:rPr>
        <w:t>Reporting</w:t>
      </w:r>
    </w:p>
    <w:p>
      <w:pPr>
        <w:ind w:left="40"/>
        <w:spacing w:after="0"/>
        <w:rPr>
          <w:sz w:val="20"/>
          <w:szCs w:val="20"/>
          <w:color w:val="auto"/>
        </w:rPr>
      </w:pPr>
      <w:r>
        <w:rPr>
          <w:rFonts w:ascii="Times New Roman" w:cs="Times New Roman" w:eastAsia="Times New Roman" w:hAnsi="Times New Roman"/>
          <w:sz w:val="21"/>
          <w:szCs w:val="21"/>
          <w:color w:val="auto"/>
        </w:rPr>
        <w:t>Person</w:t>
      </w:r>
    </w:p>
    <w:p>
      <w:pPr>
        <w:ind w:left="40"/>
        <w:spacing w:after="0"/>
        <w:rPr>
          <w:sz w:val="20"/>
          <w:szCs w:val="20"/>
          <w:color w:val="auto"/>
        </w:rPr>
      </w:pPr>
      <w:r>
        <w:rPr>
          <w:rFonts w:ascii="Times New Roman" w:cs="Times New Roman" w:eastAsia="Times New Roman" w:hAnsi="Times New Roman"/>
          <w:sz w:val="21"/>
          <w:szCs w:val="21"/>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12</w:t>
      </w: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128270"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w:t>
      </w:r>
    </w:p>
    <w:p>
      <w:pPr>
        <w:spacing w:after="0" w:line="22" w:lineRule="exact"/>
        <w:rPr>
          <w:sz w:val="20"/>
          <w:szCs w:val="20"/>
          <w:color w:val="auto"/>
        </w:rPr>
      </w:pPr>
    </w:p>
    <w:p>
      <w:pPr>
        <w:spacing w:after="0"/>
        <w:rPr>
          <w:sz w:val="20"/>
          <w:szCs w:val="20"/>
          <w:color w:val="auto"/>
        </w:rPr>
      </w:pPr>
      <w:r>
        <w:rPr>
          <w:sz w:val="1"/>
          <w:szCs w:val="1"/>
          <w:color w:val="auto"/>
        </w:rPr>
        <w:drawing>
          <wp:inline distT="0" distB="0" distL="0" distR="0">
            <wp:extent cx="128270"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(b)</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 use only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Source of funds (See Instructions)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270"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Citizenship or place of organization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Sole Voting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7</w:t>
      </w:r>
    </w:p>
    <w:p>
      <w:pPr>
        <w:ind w:left="320"/>
        <w:spacing w:after="0"/>
        <w:rPr>
          <w:sz w:val="20"/>
          <w:szCs w:val="20"/>
          <w:color w:val="auto"/>
        </w:rPr>
      </w:pPr>
      <w:r>
        <w:rPr>
          <w:rFonts w:ascii="Times New Roman" w:cs="Times New Roman" w:eastAsia="Times New Roman" w:hAnsi="Times New Roman"/>
          <w:sz w:val="21"/>
          <w:szCs w:val="21"/>
          <w:color w:val="auto"/>
        </w:rPr>
        <w:t>9,000,000.00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Shared Voting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w:t>
      </w:r>
    </w:p>
    <w:p>
      <w:pPr>
        <w:ind w:left="320"/>
        <w:spacing w:after="0"/>
        <w:rPr>
          <w:sz w:val="20"/>
          <w:szCs w:val="20"/>
          <w:color w:val="auto"/>
        </w:rPr>
      </w:pPr>
      <w:r>
        <w:rPr>
          <w:rFonts w:ascii="Times New Roman" w:cs="Times New Roman" w:eastAsia="Times New Roman" w:hAnsi="Times New Roman"/>
          <w:sz w:val="21"/>
          <w:szCs w:val="21"/>
          <w:color w:val="auto"/>
        </w:rPr>
        <w:t>18,852,064.00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Sole Dispositive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9</w:t>
      </w:r>
    </w:p>
    <w:p>
      <w:pPr>
        <w:ind w:left="320"/>
        <w:spacing w:after="0"/>
        <w:rPr>
          <w:sz w:val="20"/>
          <w:szCs w:val="20"/>
          <w:color w:val="auto"/>
        </w:rPr>
      </w:pPr>
      <w:r>
        <w:rPr>
          <w:rFonts w:ascii="Times New Roman" w:cs="Times New Roman" w:eastAsia="Times New Roman" w:hAnsi="Times New Roman"/>
          <w:sz w:val="21"/>
          <w:szCs w:val="21"/>
          <w:color w:val="auto"/>
        </w:rPr>
        <w:t>9,000,000.00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Shared Dispositive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w:t>
      </w:r>
    </w:p>
    <w:p>
      <w:pPr>
        <w:ind w:left="320"/>
        <w:spacing w:after="0"/>
        <w:rPr>
          <w:sz w:val="20"/>
          <w:szCs w:val="20"/>
          <w:color w:val="auto"/>
        </w:rPr>
      </w:pPr>
      <w:r>
        <w:rPr>
          <w:rFonts w:ascii="Times New Roman" w:cs="Times New Roman" w:eastAsia="Times New Roman" w:hAnsi="Times New Roman"/>
          <w:sz w:val="21"/>
          <w:szCs w:val="21"/>
          <w:color w:val="auto"/>
        </w:rPr>
        <w:t>18,852,064.00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Aggregate amount beneficially owned by each reporting person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27,852,064.00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270"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Percent of class represented by amount in Row (11)</w:t>
      </w:r>
    </w:p>
    <w:p>
      <w:pPr>
        <w:sectPr>
          <w:pgSz w:w="11900" w:h="16838" w:orient="portrait"/>
          <w:cols w:equalWidth="0" w:num="2">
            <w:col w:w="1100" w:space="60"/>
            <w:col w:w="10080"/>
          </w:cols>
          <w:pgMar w:left="320" w:top="111" w:right="339" w:bottom="38"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1"/>
          <w:szCs w:val="21"/>
          <w:color w:val="auto"/>
        </w:rPr>
        <w:t>46.7 %</w:t>
      </w:r>
    </w:p>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w:t>
      </w:r>
    </w:p>
    <w:tbl>
      <w:tblPr>
        <w:tblLayout w:type="fixed"/>
        <w:tblInd w:w="0" w:type="dxa"/>
        <w:tblCellMar>
          <w:top w:w="0" w:type="dxa"/>
          <w:left w:w="0" w:type="dxa"/>
          <w:bottom w:w="0" w:type="dxa"/>
          <w:right w:w="0" w:type="dxa"/>
        </w:tblCellMar>
      </w:tblPr>
      <w:tr>
        <w:trPr>
          <w:trHeight w:val="280"/>
        </w:trPr>
        <w:tc>
          <w:tcPr>
            <w:tcW w:w="2080" w:type="dxa"/>
            <w:vAlign w:val="bottom"/>
          </w:tcPr>
          <w:p>
            <w:pPr>
              <w:ind w:left="1160"/>
              <w:spacing w:after="0"/>
              <w:rPr>
                <w:sz w:val="20"/>
                <w:szCs w:val="20"/>
                <w:color w:val="auto"/>
              </w:rPr>
            </w:pPr>
            <w:r>
              <w:rPr>
                <w:rFonts w:ascii="Times New Roman" w:cs="Times New Roman" w:eastAsia="Times New Roman" w:hAnsi="Times New Roman"/>
                <w:sz w:val="21"/>
                <w:szCs w:val="21"/>
                <w:color w:val="auto"/>
              </w:rPr>
              <w:t>OO</w:t>
            </w:r>
          </w:p>
        </w:tc>
        <w:tc>
          <w:tcPr>
            <w:tcW w:w="9160" w:type="dxa"/>
            <w:vAlign w:val="bottom"/>
          </w:tcPr>
          <w:p>
            <w:pPr>
              <w:spacing w:after="0"/>
              <w:rPr>
                <w:sz w:val="24"/>
                <w:szCs w:val="24"/>
                <w:color w:val="auto"/>
              </w:rPr>
            </w:pPr>
          </w:p>
        </w:tc>
      </w:tr>
      <w:tr>
        <w:trPr>
          <w:trHeight w:val="4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Item 13 Footnote: This calculation is based on 59,624,589 shares of Common Stock outstanding as of</w:t>
            </w:r>
          </w:p>
        </w:tc>
      </w:tr>
      <w:tr>
        <w:trPr>
          <w:trHeight w:val="289"/>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April 30, 2026, as reported in the Form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0"/>
          <w:szCs w:val="20"/>
          <w:color w:val="auto"/>
        </w:rPr>
      </w:pPr>
    </w:p>
    <w:p>
      <w:pPr>
        <w:spacing w:after="0" w:line="3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Name of reporting person</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w:t>
      </w:r>
    </w:p>
    <w:p>
      <w:pPr>
        <w:ind w:left="1160"/>
        <w:spacing w:after="0"/>
        <w:rPr>
          <w:sz w:val="20"/>
          <w:szCs w:val="20"/>
          <w:color w:val="auto"/>
        </w:rPr>
      </w:pPr>
      <w:r>
        <w:rPr>
          <w:rFonts w:ascii="Times New Roman" w:cs="Times New Roman" w:eastAsia="Times New Roman" w:hAnsi="Times New Roman"/>
          <w:sz w:val="21"/>
          <w:szCs w:val="21"/>
          <w:color w:val="auto"/>
        </w:rPr>
        <w:t>Pershing Square Management, LLC</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1"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270"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270"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(b)</w:t>
      </w:r>
    </w:p>
    <w:p>
      <w:pPr>
        <w:sectPr>
          <w:pgSz w:w="11900" w:h="16838" w:orient="portrait"/>
          <w:cols w:equalWidth="0" w:num="1">
            <w:col w:w="11240"/>
          </w:cols>
          <w:pgMar w:left="320" w:top="111" w:right="339" w:bottom="0" w:gutter="0" w:footer="0" w:header="0"/>
        </w:sectPr>
      </w:pP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3</w:t>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4</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5</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Number of</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rPr>
          <w:sz w:val="20"/>
          <w:szCs w:val="20"/>
          <w:color w:val="auto"/>
        </w:rPr>
      </w:pPr>
      <w:r>
        <w:rPr>
          <w:rFonts w:ascii="Times New Roman" w:cs="Times New Roman" w:eastAsia="Times New Roman" w:hAnsi="Times New Roman"/>
          <w:sz w:val="21"/>
          <w:szCs w:val="21"/>
          <w:color w:val="auto"/>
        </w:rPr>
        <w:t>Owned by</w:t>
      </w:r>
    </w:p>
    <w:p>
      <w:pPr>
        <w:ind w:left="40"/>
        <w:spacing w:after="0"/>
        <w:rPr>
          <w:sz w:val="20"/>
          <w:szCs w:val="20"/>
          <w:color w:val="auto"/>
        </w:rPr>
      </w:pPr>
      <w:r>
        <w:rPr>
          <w:rFonts w:ascii="Times New Roman" w:cs="Times New Roman" w:eastAsia="Times New Roman" w:hAnsi="Times New Roman"/>
          <w:sz w:val="21"/>
          <w:szCs w:val="21"/>
          <w:color w:val="auto"/>
        </w:rPr>
        <w:t>Each</w:t>
      </w:r>
    </w:p>
    <w:p>
      <w:pPr>
        <w:ind w:left="40"/>
        <w:spacing w:after="0"/>
        <w:rPr>
          <w:sz w:val="20"/>
          <w:szCs w:val="20"/>
          <w:color w:val="auto"/>
        </w:rPr>
      </w:pPr>
      <w:r>
        <w:rPr>
          <w:rFonts w:ascii="Times New Roman" w:cs="Times New Roman" w:eastAsia="Times New Roman" w:hAnsi="Times New Roman"/>
          <w:sz w:val="21"/>
          <w:szCs w:val="21"/>
          <w:color w:val="auto"/>
        </w:rPr>
        <w:t>Reporting</w:t>
      </w:r>
    </w:p>
    <w:p>
      <w:pPr>
        <w:ind w:left="40"/>
        <w:spacing w:after="0"/>
        <w:rPr>
          <w:sz w:val="20"/>
          <w:szCs w:val="20"/>
          <w:color w:val="auto"/>
        </w:rPr>
      </w:pPr>
      <w:r>
        <w:rPr>
          <w:rFonts w:ascii="Times New Roman" w:cs="Times New Roman" w:eastAsia="Times New Roman" w:hAnsi="Times New Roman"/>
          <w:sz w:val="21"/>
          <w:szCs w:val="21"/>
          <w:color w:val="auto"/>
        </w:rPr>
        <w:t>Person</w:t>
      </w:r>
    </w:p>
    <w:p>
      <w:pPr>
        <w:ind w:left="40"/>
        <w:spacing w:after="0"/>
        <w:rPr>
          <w:sz w:val="20"/>
          <w:szCs w:val="20"/>
          <w:color w:val="auto"/>
        </w:rPr>
      </w:pPr>
      <w:r>
        <w:rPr>
          <w:rFonts w:ascii="Times New Roman" w:cs="Times New Roman" w:eastAsia="Times New Roman" w:hAnsi="Times New Roman"/>
          <w:sz w:val="21"/>
          <w:szCs w:val="21"/>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12</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13</w:t>
      </w: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 use only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Source of funds (See Instructions)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270"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Citizenship or place of organization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Sole Voting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7</w:t>
      </w:r>
    </w:p>
    <w:p>
      <w:pPr>
        <w:ind w:left="320"/>
        <w:spacing w:after="0"/>
        <w:rPr>
          <w:sz w:val="20"/>
          <w:szCs w:val="20"/>
          <w:color w:val="auto"/>
        </w:rPr>
      </w:pPr>
      <w:r>
        <w:rPr>
          <w:rFonts w:ascii="Times New Roman" w:cs="Times New Roman" w:eastAsia="Times New Roman" w:hAnsi="Times New Roman"/>
          <w:sz w:val="21"/>
          <w:szCs w:val="21"/>
          <w:color w:val="auto"/>
        </w:rPr>
        <w:t>9,000,000.00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Shared Voting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w:t>
      </w:r>
    </w:p>
    <w:p>
      <w:pPr>
        <w:ind w:left="320"/>
        <w:spacing w:after="0"/>
        <w:rPr>
          <w:sz w:val="20"/>
          <w:szCs w:val="20"/>
          <w:color w:val="auto"/>
        </w:rPr>
      </w:pPr>
      <w:r>
        <w:rPr>
          <w:rFonts w:ascii="Times New Roman" w:cs="Times New Roman" w:eastAsia="Times New Roman" w:hAnsi="Times New Roman"/>
          <w:sz w:val="21"/>
          <w:szCs w:val="21"/>
          <w:color w:val="auto"/>
        </w:rPr>
        <w:t>18,852,064.00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Sole Dispositive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9</w:t>
      </w:r>
    </w:p>
    <w:p>
      <w:pPr>
        <w:ind w:left="320"/>
        <w:spacing w:after="0"/>
        <w:rPr>
          <w:sz w:val="20"/>
          <w:szCs w:val="20"/>
          <w:color w:val="auto"/>
        </w:rPr>
      </w:pPr>
      <w:r>
        <w:rPr>
          <w:rFonts w:ascii="Times New Roman" w:cs="Times New Roman" w:eastAsia="Times New Roman" w:hAnsi="Times New Roman"/>
          <w:sz w:val="21"/>
          <w:szCs w:val="21"/>
          <w:color w:val="auto"/>
        </w:rPr>
        <w:t>9,000,000.00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Shared Dispositive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w:t>
      </w:r>
    </w:p>
    <w:p>
      <w:pPr>
        <w:ind w:left="320"/>
        <w:spacing w:after="0"/>
        <w:rPr>
          <w:sz w:val="20"/>
          <w:szCs w:val="20"/>
          <w:color w:val="auto"/>
        </w:rPr>
      </w:pPr>
      <w:r>
        <w:rPr>
          <w:rFonts w:ascii="Times New Roman" w:cs="Times New Roman" w:eastAsia="Times New Roman" w:hAnsi="Times New Roman"/>
          <w:sz w:val="21"/>
          <w:szCs w:val="21"/>
          <w:color w:val="auto"/>
        </w:rPr>
        <w:t>18,852,064.00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Aggregate amount beneficially owned by each reporting person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27,852,064.00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270"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Percent of class represented by amount in Row (11)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46.7 %</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Item 13 Footnote: This calculation is based on 59,624,589 shares of Common Stock outstanding as of</w:t>
            </w:r>
          </w:p>
        </w:tc>
      </w:tr>
      <w:tr>
        <w:trPr>
          <w:trHeight w:val="289"/>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April 30, 2026, as reported in the Form 10-Q.</w:t>
            </w:r>
          </w:p>
        </w:tc>
      </w:tr>
    </w:tbl>
    <w:p>
      <w:pPr>
        <w:spacing w:after="0" w:line="200" w:lineRule="exact"/>
        <w:rPr>
          <w:sz w:val="20"/>
          <w:szCs w:val="20"/>
          <w:color w:val="auto"/>
        </w:rPr>
      </w:pPr>
    </w:p>
    <w:p>
      <w:pPr>
        <w:sectPr>
          <w:pgSz w:w="11900" w:h="16838" w:orient="portrait"/>
          <w:cols w:equalWidth="0" w:num="1">
            <w:col w:w="11240"/>
          </w:cols>
          <w:pgMar w:left="320" w:top="111" w:right="339" w:bottom="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1" w:right="339" w:bottom="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0"/>
          <w:szCs w:val="20"/>
          <w:color w:val="auto"/>
        </w:rPr>
      </w:pPr>
    </w:p>
    <w:p>
      <w:pPr>
        <w:spacing w:after="0" w:line="3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Name of reporting person</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w:t>
      </w:r>
    </w:p>
    <w:p>
      <w:pPr>
        <w:ind w:left="1160"/>
        <w:spacing w:after="0"/>
        <w:rPr>
          <w:sz w:val="20"/>
          <w:szCs w:val="20"/>
          <w:color w:val="auto"/>
        </w:rPr>
      </w:pPr>
      <w:r>
        <w:rPr>
          <w:rFonts w:ascii="Times New Roman" w:cs="Times New Roman" w:eastAsia="Times New Roman" w:hAnsi="Times New Roman"/>
          <w:sz w:val="21"/>
          <w:szCs w:val="21"/>
          <w:color w:val="auto"/>
        </w:rPr>
        <w:t>William A. Ackman</w:t>
      </w:r>
    </w:p>
    <w:p>
      <w:pPr>
        <w:spacing w:after="0" w:line="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89" w:right="339" w:bottom="0" w:gutter="0" w:footer="0" w:header="0"/>
        </w:sectPr>
      </w:pP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3</w:t>
      </w: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4</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5</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Number of</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rPr>
          <w:sz w:val="20"/>
          <w:szCs w:val="20"/>
          <w:color w:val="auto"/>
        </w:rPr>
      </w:pPr>
      <w:r>
        <w:rPr>
          <w:rFonts w:ascii="Times New Roman" w:cs="Times New Roman" w:eastAsia="Times New Roman" w:hAnsi="Times New Roman"/>
          <w:sz w:val="21"/>
          <w:szCs w:val="21"/>
          <w:color w:val="auto"/>
        </w:rPr>
        <w:t>Owned by</w:t>
      </w:r>
    </w:p>
    <w:p>
      <w:pPr>
        <w:ind w:left="40"/>
        <w:spacing w:after="0"/>
        <w:rPr>
          <w:sz w:val="20"/>
          <w:szCs w:val="20"/>
          <w:color w:val="auto"/>
        </w:rPr>
      </w:pPr>
      <w:r>
        <w:rPr>
          <w:rFonts w:ascii="Times New Roman" w:cs="Times New Roman" w:eastAsia="Times New Roman" w:hAnsi="Times New Roman"/>
          <w:sz w:val="21"/>
          <w:szCs w:val="21"/>
          <w:color w:val="auto"/>
        </w:rPr>
        <w:t>Each</w:t>
      </w:r>
    </w:p>
    <w:p>
      <w:pPr>
        <w:ind w:left="40"/>
        <w:spacing w:after="0"/>
        <w:rPr>
          <w:sz w:val="20"/>
          <w:szCs w:val="20"/>
          <w:color w:val="auto"/>
        </w:rPr>
      </w:pPr>
      <w:r>
        <w:rPr>
          <w:rFonts w:ascii="Times New Roman" w:cs="Times New Roman" w:eastAsia="Times New Roman" w:hAnsi="Times New Roman"/>
          <w:sz w:val="21"/>
          <w:szCs w:val="21"/>
          <w:color w:val="auto"/>
        </w:rPr>
        <w:t>Reporting</w:t>
      </w:r>
    </w:p>
    <w:p>
      <w:pPr>
        <w:ind w:left="40"/>
        <w:spacing w:after="0"/>
        <w:rPr>
          <w:sz w:val="20"/>
          <w:szCs w:val="20"/>
          <w:color w:val="auto"/>
        </w:rPr>
      </w:pPr>
      <w:r>
        <w:rPr>
          <w:rFonts w:ascii="Times New Roman" w:cs="Times New Roman" w:eastAsia="Times New Roman" w:hAnsi="Times New Roman"/>
          <w:sz w:val="21"/>
          <w:szCs w:val="21"/>
          <w:color w:val="auto"/>
        </w:rPr>
        <w:t>Person</w:t>
      </w:r>
    </w:p>
    <w:p>
      <w:pPr>
        <w:ind w:left="40"/>
        <w:spacing w:after="0"/>
        <w:rPr>
          <w:sz w:val="20"/>
          <w:szCs w:val="20"/>
          <w:color w:val="auto"/>
        </w:rPr>
      </w:pPr>
      <w:r>
        <w:rPr>
          <w:rFonts w:ascii="Times New Roman" w:cs="Times New Roman" w:eastAsia="Times New Roman" w:hAnsi="Times New Roman"/>
          <w:sz w:val="21"/>
          <w:szCs w:val="21"/>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12</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13</w:t>
      </w: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128270"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w:t>
      </w:r>
    </w:p>
    <w:p>
      <w:pPr>
        <w:spacing w:after="0" w:line="22" w:lineRule="exact"/>
        <w:rPr>
          <w:sz w:val="20"/>
          <w:szCs w:val="20"/>
          <w:color w:val="auto"/>
        </w:rPr>
      </w:pPr>
    </w:p>
    <w:p>
      <w:pPr>
        <w:spacing w:after="0"/>
        <w:rPr>
          <w:sz w:val="20"/>
          <w:szCs w:val="20"/>
          <w:color w:val="auto"/>
        </w:rPr>
      </w:pPr>
      <w:r>
        <w:rPr>
          <w:sz w:val="1"/>
          <w:szCs w:val="1"/>
          <w:color w:val="auto"/>
        </w:rPr>
        <w:drawing>
          <wp:inline distT="0" distB="0" distL="0" distR="0">
            <wp:extent cx="128270"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(b)</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 use only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Source of funds (See Instructions)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270"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Citizenship or place of organization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Sole Voting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7</w:t>
      </w:r>
    </w:p>
    <w:p>
      <w:pPr>
        <w:ind w:left="320"/>
        <w:spacing w:after="0"/>
        <w:rPr>
          <w:sz w:val="20"/>
          <w:szCs w:val="20"/>
          <w:color w:val="auto"/>
        </w:rPr>
      </w:pPr>
      <w:r>
        <w:rPr>
          <w:rFonts w:ascii="Times New Roman" w:cs="Times New Roman" w:eastAsia="Times New Roman" w:hAnsi="Times New Roman"/>
          <w:sz w:val="21"/>
          <w:szCs w:val="21"/>
          <w:color w:val="auto"/>
        </w:rPr>
        <w:t>9,000,000.00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Shared Voting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w:t>
      </w:r>
    </w:p>
    <w:p>
      <w:pPr>
        <w:ind w:left="320"/>
        <w:spacing w:after="0"/>
        <w:rPr>
          <w:sz w:val="20"/>
          <w:szCs w:val="20"/>
          <w:color w:val="auto"/>
        </w:rPr>
      </w:pPr>
      <w:r>
        <w:rPr>
          <w:rFonts w:ascii="Times New Roman" w:cs="Times New Roman" w:eastAsia="Times New Roman" w:hAnsi="Times New Roman"/>
          <w:sz w:val="21"/>
          <w:szCs w:val="21"/>
          <w:color w:val="auto"/>
        </w:rPr>
        <w:t>18,852,064.00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Sole Dispositive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9</w:t>
      </w:r>
    </w:p>
    <w:p>
      <w:pPr>
        <w:ind w:left="320"/>
        <w:spacing w:after="0"/>
        <w:rPr>
          <w:sz w:val="20"/>
          <w:szCs w:val="20"/>
          <w:color w:val="auto"/>
        </w:rPr>
      </w:pPr>
      <w:r>
        <w:rPr>
          <w:rFonts w:ascii="Times New Roman" w:cs="Times New Roman" w:eastAsia="Times New Roman" w:hAnsi="Times New Roman"/>
          <w:sz w:val="21"/>
          <w:szCs w:val="21"/>
          <w:color w:val="auto"/>
        </w:rPr>
        <w:t>9,000,000.00</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Shared Dispositive Power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w:t>
      </w:r>
    </w:p>
    <w:p>
      <w:pPr>
        <w:ind w:left="320"/>
        <w:spacing w:after="0"/>
        <w:rPr>
          <w:sz w:val="20"/>
          <w:szCs w:val="20"/>
          <w:color w:val="auto"/>
        </w:rPr>
      </w:pPr>
      <w:r>
        <w:rPr>
          <w:rFonts w:ascii="Times New Roman" w:cs="Times New Roman" w:eastAsia="Times New Roman" w:hAnsi="Times New Roman"/>
          <w:sz w:val="21"/>
          <w:szCs w:val="21"/>
          <w:color w:val="auto"/>
        </w:rPr>
        <w:t>18,852,064.00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Aggregate amount beneficially owned by each reporting person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27,852,064.00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270"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Percent of class represented by amount in Row (11)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46.7 %</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89" w:right="339" w:bottom="0" w:gutter="0" w:footer="0" w:header="0"/>
          <w:type w:val="continuous"/>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Item 13 Footnote: This calculation is based on 59,624,589 shares of Common Stock outstanding as of</w:t>
            </w:r>
          </w:p>
        </w:tc>
      </w:tr>
      <w:tr>
        <w:trPr>
          <w:trHeight w:val="289"/>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April 30, 2026, as reported in the Form 10-Q.</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1"/>
          <w:szCs w:val="21"/>
          <w:color w:val="auto"/>
        </w:rPr>
        <w:t>Item 1.</w:t>
        <w:tab/>
        <w:t>Security and Issuer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Title of Class of Securities: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w:t>
      </w:r>
    </w:p>
    <w:p>
      <w:pPr>
        <w:ind w:left="980"/>
        <w:spacing w:after="0"/>
        <w:rPr>
          <w:sz w:val="20"/>
          <w:szCs w:val="20"/>
          <w:color w:val="auto"/>
        </w:rPr>
      </w:pPr>
      <w:r>
        <w:rPr>
          <w:rFonts w:ascii="Times New Roman" w:cs="Times New Roman" w:eastAsia="Times New Roman" w:hAnsi="Times New Roman"/>
          <w:sz w:val="21"/>
          <w:szCs w:val="21"/>
          <w:color w:val="auto"/>
        </w:rPr>
        <w:t>Common Stock, par value $0.01 per share</w:t>
      </w:r>
    </w:p>
    <w:p>
      <w:pPr>
        <w:spacing w:after="0" w:line="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Name of Issuer: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w:t>
      </w:r>
    </w:p>
    <w:p>
      <w:pPr>
        <w:ind w:left="980"/>
        <w:spacing w:after="0"/>
        <w:rPr>
          <w:sz w:val="20"/>
          <w:szCs w:val="20"/>
          <w:color w:val="auto"/>
        </w:rPr>
      </w:pPr>
      <w:r>
        <w:rPr>
          <w:rFonts w:ascii="Times New Roman" w:cs="Times New Roman" w:eastAsia="Times New Roman" w:hAnsi="Times New Roman"/>
          <w:sz w:val="21"/>
          <w:szCs w:val="21"/>
          <w:color w:val="auto"/>
        </w:rPr>
        <w:t>Howard Hughes Holdings Inc.</w:t>
      </w:r>
    </w:p>
    <w:p>
      <w:pPr>
        <w:spacing w:after="0" w:line="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w:t>
      </w:r>
    </w:p>
    <w:p>
      <w:pPr>
        <w:ind w:left="980"/>
        <w:spacing w:after="0"/>
        <w:rPr>
          <w:sz w:val="20"/>
          <w:szCs w:val="20"/>
          <w:color w:val="auto"/>
        </w:rPr>
      </w:pPr>
      <w:r>
        <w:rPr>
          <w:rFonts w:ascii="Times New Roman" w:cs="Times New Roman" w:eastAsia="Times New Roman" w:hAnsi="Times New Roman"/>
          <w:sz w:val="21"/>
          <w:szCs w:val="21"/>
          <w:color w:val="auto"/>
        </w:rPr>
        <w:t>9950 WOODLOCH FOREST DRIVE, 11TH FLOOR, THE WOODLANDS, TEXAS , 77380.</w:t>
      </w:r>
    </w:p>
    <w:p>
      <w:pPr>
        <w:spacing w:after="0" w:line="3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33 ("Amendment No. 33") to Schedule 13D is being filed on behalf of the Reporting Persons</w:t>
      </w:r>
    </w:p>
    <w:p>
      <w:pPr>
        <w:sectPr>
          <w:pgSz w:w="11900" w:h="16838" w:orient="portrait"/>
          <w:cols w:equalWidth="0" w:num="1">
            <w:col w:w="11240"/>
          </w:cols>
          <w:pgMar w:left="320" w:top="189" w:right="339" w:bottom="0" w:gutter="0" w:footer="0" w:header="0"/>
          <w:type w:val="continuous"/>
        </w:sectPr>
      </w:pPr>
    </w:p>
    <w:bookmarkStart w:id="6" w:name="page7"/>
    <w:bookmarkEnd w:id="6"/>
    <w:p>
      <w:pPr>
        <w:spacing w:after="0" w:line="54" w:lineRule="exact"/>
        <w:rPr>
          <w:sz w:val="20"/>
          <w:szCs w:val="20"/>
          <w:color w:val="auto"/>
        </w:rPr>
      </w:pPr>
    </w:p>
    <w:p>
      <w:pPr>
        <w:jc w:val="both"/>
        <w:ind w:left="960" w:hanging="947"/>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with respect to the closing of the transactions contemplated in the Equity Commitment Letter, dated as of December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17, 2025, by and between Pershing Square Holdings, Ltd. ("PSH") and the Issuer (the "Equity Commitment Letter"), which was previously filed as Exhibit 99.39 to the Schedule 13D. This Amendment No. 33 modifies the original Schedule 13D filed on December 4, 2019 (as amended and supplemented prior to the filing of this Amendment No. 33, the "Schedule 13D") by (i) Pershing Square Capital Management, L.P., a Delaware limited partnership, (ii) PS Management GP, LLC, a Delaware limited liability company, and (iii) William A. Ackman, a citizen of the United States. Capitalized terms used but not defined in this Amendment No. 33 shall have the meanings set forth in the Schedule 13D. Except as specifically amended by this Amendment No. 33, the Schedule 13D is unchanged.</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1"/>
          <w:szCs w:val="21"/>
          <w:color w:val="auto"/>
        </w:rPr>
        <w:t>Item 2.</w:t>
        <w:tab/>
        <w:t>Identity and Background</w:t>
      </w:r>
    </w:p>
    <w:p>
      <w:pPr>
        <w:spacing w:after="0" w:line="81" w:lineRule="exact"/>
        <w:rPr>
          <w:sz w:val="20"/>
          <w:szCs w:val="20"/>
          <w:color w:val="auto"/>
        </w:rPr>
      </w:pPr>
    </w:p>
    <w:p>
      <w:pPr>
        <w:ind w:left="940" w:right="80"/>
        <w:spacing w:after="0" w:line="248" w:lineRule="auto"/>
        <w:rPr>
          <w:sz w:val="20"/>
          <w:szCs w:val="20"/>
          <w:color w:val="auto"/>
        </w:rPr>
      </w:pPr>
      <w:r>
        <w:rPr>
          <w:rFonts w:ascii="Times New Roman" w:cs="Times New Roman" w:eastAsia="Times New Roman" w:hAnsi="Times New Roman"/>
          <w:sz w:val="21"/>
          <w:szCs w:val="21"/>
          <w:color w:val="auto"/>
        </w:rPr>
        <w:t>This statement is being filed by: (i) Pershing Square Capital Management, L.P., a Delaware limited partnership ("PSCM"); (ii) Pershing Square HHH Holdings, LLC, a Nevada limited liability company ("PS HHH Holdings"); (iii) Pershing Square Inc., a Nevada corporation (f/k/a Pershing Square Holdco, L.P., a Delaware limited partnership) ("PS</w:t>
      </w:r>
    </w:p>
    <w:p>
      <w:pPr>
        <w:spacing w:after="0" w:line="1" w:lineRule="exact"/>
        <w:rPr>
          <w:sz w:val="20"/>
          <w:szCs w:val="20"/>
          <w:color w:val="auto"/>
        </w:rPr>
      </w:pPr>
    </w:p>
    <w:p>
      <w:pPr>
        <w:ind w:left="940" w:right="240" w:hanging="932"/>
        <w:spacing w:after="0" w:line="245" w:lineRule="auto"/>
        <w:tabs>
          <w:tab w:leader="none" w:pos="9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 (iv) Pershing Square Partner Group, LLC, a Delaware limited liability company ("PS Partner Group"); (v) Pershing Square Management, LLC, a Delaware limited liability company (f/k/a PS Holdco GP Managing Member, LLC) ("ManagementCo"); and (vi) William A. Ackman, a citizen of the United States of America (together with PSCM, PS HHH Holdings, PS Inc., PS Partner Group and ManagementCo, the "Reporting Persons")."</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Item 2(d) of the Schedule 13D is hereby replaced with the following information: "During the last five years, none of</w:t>
      </w:r>
    </w:p>
    <w:p>
      <w:pPr>
        <w:spacing w:after="0" w:line="24" w:lineRule="exact"/>
        <w:rPr>
          <w:sz w:val="20"/>
          <w:szCs w:val="20"/>
          <w:color w:val="auto"/>
        </w:rPr>
      </w:pPr>
    </w:p>
    <w:p>
      <w:pPr>
        <w:ind w:left="940" w:right="80" w:hanging="932"/>
        <w:spacing w:after="0" w:line="254" w:lineRule="auto"/>
        <w:tabs>
          <w:tab w:leader="none" w:pos="9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Reporting Persons and, to the knowledge of the Reporting Persons, none of the persons listed on Exhibits 99.40 or 99.41 has been convicted in a criminal proceeding (excluding traffic violations or similar misdemeanors)."</w:t>
      </w:r>
    </w:p>
    <w:p>
      <w:pPr>
        <w:spacing w:after="0" w:line="2" w:lineRule="exact"/>
        <w:rPr>
          <w:rFonts w:ascii="Times New Roman" w:cs="Times New Roman" w:eastAsia="Times New Roman" w:hAnsi="Times New Roman"/>
          <w:sz w:val="21"/>
          <w:szCs w:val="21"/>
          <w:color w:val="auto"/>
        </w:rPr>
      </w:pPr>
    </w:p>
    <w:p>
      <w:pPr>
        <w:ind w:left="940" w:right="80"/>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2(e) of the Schedule 13D is hereby replaced with the following information: "During the last five years, none of the Reporting Persons and, to the knowledge of the Reporting Persons, none of the persons listed on Exhibits 99.40 or</w:t>
      </w:r>
    </w:p>
    <w:p>
      <w:pPr>
        <w:jc w:val="both"/>
        <w:ind w:left="940" w:right="80" w:hanging="932"/>
        <w:spacing w:after="0" w:line="247" w:lineRule="auto"/>
        <w:tabs>
          <w:tab w:leader="none" w:pos="9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99.41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violations with respect to such laws."</w:t>
      </w:r>
    </w:p>
    <w:p>
      <w:pPr>
        <w:spacing w:after="0" w:line="1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1"/>
          <w:szCs w:val="21"/>
          <w:color w:val="auto"/>
        </w:rPr>
        <w:t>Item 4.</w:t>
        <w:tab/>
        <w:t>Purpose of Transaction</w:t>
      </w:r>
    </w:p>
    <w:p>
      <w:pPr>
        <w:spacing w:after="0" w:line="54" w:lineRule="exact"/>
        <w:rPr>
          <w:sz w:val="20"/>
          <w:szCs w:val="20"/>
          <w:color w:val="auto"/>
        </w:rPr>
      </w:pPr>
    </w:p>
    <w:p>
      <w:pPr>
        <w:ind w:left="940" w:right="20"/>
        <w:spacing w:after="0" w:line="241"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by adding the following information: On June 4, 2026 (the "Closing Date"), Howard Hughes Insurance Holdings, LLC, a Delaware limited liability company ("Buyer") and wholly-owned subsidiary of the Issuer completed its previously announced acquisition (the "Vantage Transaction") of Vantage Group Holdings, Ltd., a Bermuda exempted company with liability limited by shares (such entity, "Vantage", and the completion of such transaction, the "Closing"), pursuant to that certain Purchase and Sale Agreement (the "Purchase Agreement"), dated as of December 17, 2025, by and among Buyer, Vantage, Carlyle Partners VII Cayman Holdings V, L.P., a Cayman Islands exempted limited partnership (the "Carlyle Investor"), H&amp;F Vantage Aggregator, L.P., a Cayman Islands exempted limited partnership (the "H&amp;F Investor"), each of the other shareholders of Vantage (the "Additional Shareholders", together with the Carlyle Investor and the H&amp;F Investor, each a "Seller" and collectively, the "Sellers"), the Carlyle Investor and the H&amp;F Investor, in their capacities as the Sellers' representatives, and, solely for purposes of guaranteeing the obligations of Buyer pursuant to the Purchase Agreement, the Issuer. At the Closing, Buyer acquired all of Vantage's outstanding shares of capital stock for an aggregate cash consideration of approximately $2.1 billion, subject to customary adjustments. The Vantage Transaction was completed following the satisfaction of the closing conditions set forth in the Purchase Agreement. The Financing The Vantage Transaction was financed through cash on hand and $1 billion of non-voting preferred equity financing from PSH. A committee of the Board of Directors of the Issuer (the "Board"), comprised solely of independent and disinterested directors and established by the Board for the purpose of evaluating, negotiating and approving (or rejecting) the financing, in accordance with the terms of the existing Standstill Agreement between the Issuer and Pershing Square Inc. (formerly known as Pershing Square Holdco, L.P.), unanimously approved, and recommended that the Board approve, the financing. Based on the committee's recommendation, the Board approved such financing and the issuance of the Preferred Stock. Subscription Agreement In connection with the Closing, on the Closing Date, the Issuer entered into a Subscription Agreement (the "SA") with PSH on terms substantially similar to the terms set forth in the equity commitment letter, dated as of December 17, 2025, by and between the Issuer and PSH (the "Equity Commitment Letter"). Pursuant to the SA, the Issuer issued and sold Series A Non-Voting Exchangeable Perpetual Preferred Stock, par value $0.01 per share (the "Preferred Stock") to PSH for an aggregate purchase price of $1.0 billion. Pursuant to the SA, PSH has a right of first refusal with respect to any proposed secondary sale of any equity securities of Buyer (including any instruments convertible into such equity) to any third party. The right of first refusal permits PSH to purchase any of those equity securities from the Issuer or Buyer on the terms and conditions offered to the other third party. In the event the exercise of the right of first refusal would cause PSH to exceed the Ownership Cap (as defined below), the underlying proposed sale shall require the consent of a majority-in-interest of the holders of Preferred Stock (in addition to the approval of a majority of the Issuer's Disinterested Directors). The foregoing description of the SA does not purport to be complete and is subject to, and qualified in its entirety by reference to, the full text of the SA, a copy of which is attached hereto as Exhibit 99.44 and incorporated herein by reference. Certificate of Designations of the Preferred Stock Each share of Preferred Stock issued to PSH pursuant to the SA has the powers, designations, preferences and other rights as set forth in the Certificate of Designations of the Preferred Stock filed by the Issuer with the Secretary of State of the State of Delaware on the Closing Date (the "Certificate of Designations"). Ranking The Preferred Stock will rank pari passu with the Issuer's common stock, including with respect to payment rights and liquidation. Voting Rights Except as required by law and subject to certain protective provisions in the Certificate of Designations, the holders of the Preferred Stock will not have any voting rights. Dividends A majority of Disinterested Directors (as defined in the Certificate of Designations) of the Board may declare dividends on the Preferred Stock, and if declared, such dividends will be paid out of the assets of the Issuer legally available for the payment of dividends. Such declared</w:t>
      </w:r>
    </w:p>
    <w:p>
      <w:pPr>
        <w:sectPr>
          <w:pgSz w:w="11900" w:h="16893" w:orient="portrait"/>
          <w:cols w:equalWidth="0" w:num="1">
            <w:col w:w="11160"/>
          </w:cols>
          <w:pgMar w:left="360" w:top="111" w:right="37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dividends may not exceed the pro rata cash dividends or distributions actually received by the Issuer from Vantage (through Buyer). Exchange Right Within 60 days following (i) the end of the seventh fiscal year following the date of issuance of the Preferred Stock (the "Original Issue Date"), beginning with the fiscal year ending December 31, 2026 (subject to the Call Option (defined below)) and (ii) the end of each subsequent fiscal year, a holder of Preferred Stock may exchange shares of Preferred Stock, without the payment of additional consideration, into a number of common equity interests of Buyer ("Buyer Units"). Upon exchange of all Preferred Stock, the holders of Preferred Stock would own, in the aggregate, a fraction of all Buyer Units equal to (a) (1) the aggregate purchase price paid for primary acquisitions of the Preferred Stock plus (2) all dividends received by the Issuer (through Buyer) from Vantage that the Preferred Stock would have received had it been exchanged for Buyer Units (reduced by (but not below zero) the amount of all dividends passed on to holders of the Preferred Stock through a dividend on the Preferred Stock), in each case prior to the date of the applicable exchange plus (3) any dividends owed under the Defaulted Repurchase Dividend Rate (defined below) (reduced by (but not below zero) all such dividends paid to holders of Preferred Stock) divided by (b) (1) the aggregate purchase price of Buyer pursuant to the Purchase Agreement plus (2) any additional capital contributed to Buyer by the Issuer. In no event will the holders of Preferred Stock be permitted to acquire more than 49% of the total shares of Buyer Units outstanding at any time (the "Ownership Cap") without the approval of a majority of the Disinterested Directors. To the extent the holders of Preferred Stock have the right to exchange their Preferred Stock and have delivered a notice requesting such exchange, but are prohibited from completing all or any portion of the exchange due to the Ownership Cap, the Issuer has agreed to repurchase the excess portion of shares of Preferred Stock requested to be exchanged on the same terms as provided for a mandatory repurchase. Call Option During the period between 60 and 90 days following the end of each of the first seven fiscal years following the Original Issue Date beginning with the fiscal year ending December 31, 2026 or as may be mutually agreed by the Issuer and holders representing the majority of the Preferred Stock then-outstanding, the Issuer shall have the right, but not the obligation, to repurchase the Preferred Stock in one or more full tranches (the "Call Option"). The repurchase price for each share of Preferred Stock shall be equal to the greater of (i) (a) the original issue price of the Preferred Stock plus (b) interest, compounded daily, at a rate of 4% per annum and (ii) (a) 1.5 times the book value of Buyer (excluding non-controlling interests and good will and purchase-related intangibles attributable to the completion of the Transaction) multiplied by (b) the corresponding ownership percentage of Buyer represented by such share of Preferred Stock (on an as-exchanged basis). Mandatory Repurchase The Issuer shall offer to repurchase all of the outstanding shares of Preferred Stock upon the occurrence of any of the following: _ a change of control or re-organization of the Issuer or Buyer (or any subsidiary of the Issuer or Buyer that holds a majority of the assets or business of the Issuer or Buyer), excluding any transactions resulting in the Issuer or Buyer (or such subsidiary) being majority owned or controlled by PSH or its affiliates; _ a sale of all or substantially all of the assets or business of the Issuer and its subsidiaries or Buyer, excluding any sales or disposals to PSH or its affiliates; or _ material breach of the Certificate of Designations, the SA or the RRA (defined below), subject to a customary cure period. The repurchase price for each share of Preferred Stock shall be cash consideration in an amount equal to the greater of (1) the amount that such holder of Preferred Stock would have been entitled to receive under the Call Option and (2) if the event triggering the mandatory repurchase offer is a direct or indirect transfer of equity in Buyer, the amount that such holder would have received in such transaction if it had exchanged its Preferred Stock into Buyer Units. If not all shares of Preferred Stock are repurchased in full when required (the "Repurchase Date"), then beginning on the Repurchase Date and continuing until such shares are fully repurchased and the aggregate repurchase price is paid in full, the unpurchased shares of Preferred Stock (1) shall remain outstanding and continue to have the same rights, preferences and privileges specified in the Certificate of Designations and (2) shall bear a dividend of 10% of the original issue price of the Preferred Stock per annum (the "Defaulted Repurchase Dividend Rate"), to the extent permitted under applicable law. During such time, the Issuer (i) is not permitted to declare or pay any distributions, dividends, redemptions or otherwise make funds available in respect of securities that rank pari passu or junior to the Preferred Stock, and (ii) is required to use commercially reasonable efforts to generate sufficient funds to repurchase the remaining shares of Preferred Stock in full, to the extent permitted under applicable law. Protective Provisions In the event of a proposed issuance of additional equity interests of Buyer, subject to certain customary exceptions, the holders of Preferred Stock shall have the right (but not the obligation) to purchase additional shares of Preferred Stock to participate on a pro rata basis. Any decisions to be made by the Issuer with respect to or affecting the Preferred Stock will be made by a majority of its Disinterested Directors. However, a majority of Preferred Stock holders must consent to any issuance of additional Preferred Stock, issuance of additional shares of the Issuer or of Buyer having rights, preferences or privileges senior to the Preferred Stock or to the Buyer Units, respectively, and issuance of any equity securities of Buyer (including any instruments convertible into equity), any alterations of the powers, preferences or special rights of the Preferred Stock material or adverse to the rights or preferences of the Preferred Stock, or any amendments to the Issuer's certificate of incorporation or any other constitutive document of the Issuer reasonably expected to materially or adversely affect any holder of Preferred Stock. The foregoing description of the terms of the Preferred Stock and the Certificate of Designations does not purport to be complete and is subject to, and qualified in its entirety by reference to, the full text of the Certificate of Designations, a copy of which is attached hereto as Exhibit 99.45 and incorporated herein by reference. Registration Rights Agreement Pursuant to the SA, the Issuer, PSH and Buyer have entered into a Registration Rights Agreement ("RRA"). Pursuant to the RRA, Buyer has agreed to provide PSH and certain other affiliates of PSH with demand rights and customary piggyback registration rights. The demand rights under the RRA require Buyer, upon request and subject to limited exceptions, to conduct an initial public offering or a direct listing of the Buyer Units concurrently with the exchange by PSH or its affiliates of the Preferred Stock for Buyer Units under the terms of the Certificate of Designations. The RRA also requires the Issuer to file certain shelf registration statements, upon request, to register for resale all or a part of the Buyer Units owned by PSH and such affiliates. In addition, the Registration Rights Agreement contains customary indemnification provisions. The foregoing description of the terms of the RRA does not purport to be complete and is subject to, and</w:t>
      </w:r>
    </w:p>
    <w:p>
      <w:pPr>
        <w:sectPr>
          <w:pgSz w:w="11900" w:h="16838" w:orient="portrait"/>
          <w:cols w:equalWidth="0" w:num="1">
            <w:col w:w="10180"/>
          </w:cols>
          <w:pgMar w:left="1300" w:top="111" w:right="419" w:bottom="0" w:gutter="0" w:footer="0" w:header="0"/>
        </w:sectPr>
      </w:pPr>
    </w:p>
    <w:bookmarkStart w:id="8" w:name="page9"/>
    <w:bookmarkEnd w:id="8"/>
    <w:p>
      <w:pPr>
        <w:ind w:left="940"/>
        <w:spacing w:after="0" w:line="242" w:lineRule="auto"/>
        <w:rPr>
          <w:sz w:val="20"/>
          <w:szCs w:val="20"/>
          <w:color w:val="auto"/>
        </w:rPr>
      </w:pPr>
      <w:r>
        <w:rPr>
          <w:rFonts w:ascii="Times New Roman" w:cs="Times New Roman" w:eastAsia="Times New Roman" w:hAnsi="Times New Roman"/>
          <w:sz w:val="21"/>
          <w:szCs w:val="21"/>
          <w:color w:val="auto"/>
        </w:rPr>
        <w:t>qualified in its entirety by reference to, the full text of the RRA, a copy of which is attached hereto as Exhibit 99.46 and incorporated herein by reference. Investment Management Agreements Upon consummation of the Vantage Transaction, on the Closing Date, Pershing Square Capital Management, L.P. ("PSCM") entered into investment management agreements with each of Vantage Risk Specialty Insurance Company, Vantage Risk Assurance Company, Vantage Risk Ltd. and Vantage, pursuant to which PSCM will act as investment manager of each company's general account and other investment portfolios. As long as the Services Agreement, dated May 5, 2025, between the Company and PSCM remains in effect, none of the such companies will pay any additional investment management or advisory fees under the PSCM investment management agreements. Voting Proxy Agreement In connection with the Closing, on the Closing Date, PS Inc., PSCM, PSH and certain of PSH's wholly owned subsidiaries entered into a Voting Proxy Agreement (the "Voting Proxy Agreement"), pursuant to which each of PSH and its applicable wholly owned subsidiaries appointed PS Inc. as its proxy and attorney-in-fact to vote all of the Preferred Stock (and applicable successor securities) that it holds. The Voting Proxy Agreement does not restrict any of PSH or its applicable wholly owned subsidiaries from disposing any Preferred Stock that it owns. A disposition of Preferred Stock by any of them would automatically terminate the voting proxy granted pursuant to the Voting Proxy Agreement with respect to such Preferred Stock disposed. Additionally, the voting proxy granted pursuant to the Voting Proxy Agreement may be terminated (i) upon written notice by PS Inc. to PSH or (ii) upon written notice by PSH to PS Inc. given no less than twelve months after termination of its investment management agreement with PSCM. The foregoing description of the Voting Proxy Agreement does not purport to be complete and is subject to, and qualified in its entirety by reference to, the full text of the Voting Proxy Agreement, a copy of which is attached hereto as Exhibit 99.47 and incorporated herein by reference.</w:t>
      </w:r>
    </w:p>
    <w:p>
      <w:pPr>
        <w:spacing w:after="0" w:line="2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1"/>
          <w:szCs w:val="21"/>
          <w:color w:val="auto"/>
        </w:rPr>
        <w:t>Item 5.</w:t>
        <w:tab/>
        <w:t>Interest in Securities of the Issuer</w:t>
      </w:r>
    </w:p>
    <w:p>
      <w:pPr>
        <w:spacing w:after="0" w:line="54" w:lineRule="exact"/>
        <w:rPr>
          <w:sz w:val="20"/>
          <w:szCs w:val="20"/>
          <w:color w:val="auto"/>
        </w:rPr>
      </w:pPr>
    </w:p>
    <w:p>
      <w:pPr>
        <w:ind w:left="940"/>
        <w:spacing w:after="0" w:line="246" w:lineRule="auto"/>
        <w:rPr>
          <w:sz w:val="20"/>
          <w:szCs w:val="20"/>
          <w:color w:val="auto"/>
        </w:rPr>
      </w:pPr>
      <w:r>
        <w:rPr>
          <w:rFonts w:ascii="Times New Roman" w:cs="Times New Roman" w:eastAsia="Times New Roman" w:hAnsi="Times New Roman"/>
          <w:sz w:val="21"/>
          <w:szCs w:val="21"/>
          <w:color w:val="auto"/>
        </w:rPr>
        <w:t>Item 5(a) of the Schedule 13D is hereby amended and supplemented by adding the following information: "The information set forth in the cover pages of this Amendment 33 is hereby incorporated by reference into this Item 5. As of June 4, 2026, (i) PS HHH Holdings beneficially owned 9,000,000 shares of Common Stock (the "Directly Held Shares"), representing 15.1% of the outstanding shares of Common Stock and (ii) the other Reporting Persons (i.e.,</w:t>
      </w:r>
    </w:p>
    <w:p>
      <w:pPr>
        <w:spacing w:after="0" w:line="1" w:lineRule="exact"/>
        <w:rPr>
          <w:sz w:val="20"/>
          <w:szCs w:val="20"/>
          <w:color w:val="auto"/>
        </w:rPr>
      </w:pPr>
    </w:p>
    <w:p>
      <w:pPr>
        <w:ind w:left="940" w:right="100" w:hanging="932"/>
        <w:spacing w:after="0" w:line="243" w:lineRule="auto"/>
        <w:tabs>
          <w:tab w:leader="none" w:pos="9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PSCM, PS Inc., PS Partner Group, ManagementCo and William A. Ackman) may be deemed to beneficially own an additional 18,852,064 shares (together with the Directly Held Shares, the "Subject Shares") owned by the Pershing Square Affiliated Funds, collectively representing approximately 46.7% of the outstanding shares of Common Stock, in each case based on 59,624,589 shares of Common Stock outstanding as of April 30, 2026, as reported in the Form 10-Q."</w:t>
      </w:r>
    </w:p>
    <w:p>
      <w:pPr>
        <w:spacing w:after="0" w:line="16" w:lineRule="exact"/>
        <w:rPr>
          <w:rFonts w:ascii="Times New Roman" w:cs="Times New Roman" w:eastAsia="Times New Roman" w:hAnsi="Times New Roman"/>
          <w:sz w:val="21"/>
          <w:szCs w:val="21"/>
          <w:color w:val="auto"/>
        </w:rPr>
      </w:pPr>
    </w:p>
    <w:p>
      <w:pPr>
        <w:ind w:left="940"/>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5(b) of the Schedule 13D is hereby amended and supplemented by adding the following information: "The information set forth in the cover pages of this Amendment 33 is hereby incorporated by reference into this Item 5. As of June 4, 2026, (i) PS HHH Holdings beneficially owned 9,000,000 shares of Common Stock (the "Directly Held Shares"), representing 15.1% of the outstanding shares of Common Stock and (ii) the other Reporting Persons (i.e., PSCM, PS Inc., PS Partner Group, ManagementCo and William A. Ackman) may be deemed to beneficially own an additional 18,852,064 shares (together with the Directly Held Shares, the "Subject Shares") owned by the Pershing Square Affiliated Funds, collectively representing approximately 46.7% of the outstanding shares of Common Stock, in each case based on 59,624,589 shares of Common Stock outstanding as of April 30, 2026, as reported in the Form 10-Q. PSCM, as the parent company of PS HHH Holdings, may be deemed to have the power to vote or direct the vote of (and the power to dispose or direct the disposition of) the Directly Held Shares, and as the investment adviser</w:t>
      </w:r>
    </w:p>
    <w:p>
      <w:pPr>
        <w:spacing w:after="0" w:line="7" w:lineRule="exact"/>
        <w:rPr>
          <w:rFonts w:ascii="Times New Roman" w:cs="Times New Roman" w:eastAsia="Times New Roman" w:hAnsi="Times New Roman"/>
          <w:sz w:val="21"/>
          <w:szCs w:val="21"/>
          <w:color w:val="auto"/>
        </w:rPr>
      </w:pPr>
    </w:p>
    <w:p>
      <w:pPr>
        <w:ind w:left="940" w:right="40" w:hanging="932"/>
        <w:spacing w:after="0" w:line="241" w:lineRule="auto"/>
        <w:tabs>
          <w:tab w:leader="none" w:pos="9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Pershing Square Affiliated Funds, may be deemed to have the shared power to dispose or direct the disposition of the other Subject Shares. As the parent company of PSCM and pursuant to that certain Voting Proxy Agreement, dated as of August 5, 2025 and previously filed as Exhibit 99.38 to the Schedule 13D, PS Inc. may be deemed to have the shared power to vote or to direct the vote of (and the shared power to dispose or direct the disposition of) the Subject Shares. As a significant shareholder of PS Inc., PS Partner Group may be deemed to have the shared power to vote or direct the vote of (and the shared power to dispose or direct the disposition of) the Subject Shares. As the holder of majority voting power of PS Inc. and the managing member of PS Partner Group, ManagementCo may be deemed to have the shared power to vote or direct the vote of (and the shared power to dispose or direct the disposition of) the Subject Shares. As (i) the Chief Executive Officer of PSCM and (ii) the Chief Executive Officer and Chairman of the Board of PS Inc., William A. Ackman may be deemed to have the shared power to vote or direct the vote of (and the shared power to dispose or direct the disposition of) the Subject Shares."</w:t>
      </w:r>
    </w:p>
    <w:p>
      <w:pPr>
        <w:spacing w:after="0" w:line="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1"/>
          <w:szCs w:val="21"/>
          <w:color w:val="auto"/>
        </w:rPr>
        <w:t>Item 6.</w:t>
        <w:tab/>
        <w:t>Contracts, Arrangements, Understandings or Relationships With Respect to Securities of the Issuer</w:t>
      </w:r>
    </w:p>
    <w:p>
      <w:pPr>
        <w:spacing w:after="0" w:line="54" w:lineRule="exact"/>
        <w:rPr>
          <w:sz w:val="20"/>
          <w:szCs w:val="20"/>
          <w:color w:val="auto"/>
        </w:rPr>
      </w:pPr>
    </w:p>
    <w:p>
      <w:pPr>
        <w:ind w:left="940" w:right="120"/>
        <w:spacing w:after="0" w:line="258" w:lineRule="auto"/>
        <w:rPr>
          <w:sz w:val="20"/>
          <w:szCs w:val="20"/>
          <w:color w:val="auto"/>
        </w:rPr>
      </w:pPr>
      <w:r>
        <w:rPr>
          <w:rFonts w:ascii="Times New Roman" w:cs="Times New Roman" w:eastAsia="Times New Roman" w:hAnsi="Times New Roman"/>
          <w:sz w:val="21"/>
          <w:szCs w:val="21"/>
          <w:color w:val="auto"/>
        </w:rPr>
        <w:t>Item 6 of the Schedule 13D is hereby amended and supplemented by adding the following information: "The information set forth in Item 4 and Item 5(b) of Amendment No. 33 is incorporated by reference into this Item 6 as if restated in full."</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1"/>
          <w:szCs w:val="21"/>
          <w:color w:val="auto"/>
        </w:rPr>
        <w:t>Item 7.</w:t>
        <w:tab/>
        <w:t>Material to be Filed as Exhibits.</w:t>
      </w:r>
    </w:p>
    <w:p>
      <w:pPr>
        <w:spacing w:after="0" w:line="54" w:lineRule="exact"/>
        <w:rPr>
          <w:sz w:val="20"/>
          <w:szCs w:val="20"/>
          <w:color w:val="auto"/>
        </w:rPr>
      </w:pPr>
    </w:p>
    <w:p>
      <w:pPr>
        <w:ind w:left="940" w:right="80"/>
        <w:spacing w:after="0" w:line="243" w:lineRule="auto"/>
        <w:rPr>
          <w:sz w:val="20"/>
          <w:szCs w:val="20"/>
          <w:color w:val="auto"/>
        </w:rPr>
      </w:pPr>
      <w:r>
        <w:rPr>
          <w:rFonts w:ascii="Times New Roman" w:cs="Times New Roman" w:eastAsia="Times New Roman" w:hAnsi="Times New Roman"/>
          <w:sz w:val="21"/>
          <w:szCs w:val="21"/>
          <w:color w:val="auto"/>
        </w:rPr>
        <w:t>Item 7 of the Schedule 13D is hereby amended and supplemented by adding a reference to the following exhibits: Exhibit 99.44: Subscription Agreement, dated as of June 4, 2026, by and between Howard Hughes Holdings Inc., Pershing Square Holdings, Ltd. and Howard Hughes Insurance Holdings, LLC. Exhibit 99.45: Certificate of Designations of the Preferred Stock, filed with the Secretary of State of the State of Delaware on June 4, 2026. Exhibit 99.46: Registration Rights Agreement, dated as of June 4, 2026, by and between Howard Hughes Holdings Inc., Pershing Square Holdings, Ltd. and Howard Hughes Insurance Holdings, LLC. Exhibit 99.47: Voting Proxy Agreement, dated as of June 4, 2026, by and between Pershing Square Inc., Pershing Square Capital Management, L.P., Pershing Square Holdings, Ltd.,PSH HHH Preferred Holding I, Ltd., PSH HHH Preferred Holding II, Ltd., PSH</w:t>
      </w:r>
    </w:p>
    <w:p>
      <w:pPr>
        <w:spacing w:after="0" w:line="3" w:lineRule="exact"/>
        <w:rPr>
          <w:sz w:val="20"/>
          <w:szCs w:val="20"/>
          <w:color w:val="auto"/>
        </w:rPr>
      </w:pPr>
    </w:p>
    <w:p>
      <w:pPr>
        <w:ind w:left="940" w:right="260" w:hanging="5"/>
        <w:spacing w:after="0" w:line="254" w:lineRule="auto"/>
        <w:tabs>
          <w:tab w:leader="none" w:pos="1459"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Preferred Holding III, Ltd., PSH HHH Preferred Holding IV, Ltd., PSH HHH Preferred Holding V, Ltd., PSH HHH Preferred Holding VI, Ltd., PSH HHH Preferred Holding VII, Ltd., PSH HHH Preferred Holding VIII, Ltd.,</w:t>
      </w:r>
    </w:p>
    <w:p>
      <w:pPr>
        <w:sectPr>
          <w:pgSz w:w="11900" w:h="16838" w:orient="portrait"/>
          <w:cols w:equalWidth="0" w:num="1">
            <w:col w:w="11120"/>
          </w:cols>
          <w:pgMar w:left="360" w:top="111" w:right="419" w:bottom="0" w:gutter="0" w:footer="0" w:header="0"/>
        </w:sectPr>
      </w:pPr>
    </w:p>
    <w:bookmarkStart w:id="9" w:name="page10"/>
    <w:bookmarkEnd w:id="9"/>
    <w:p>
      <w:pPr>
        <w:ind w:left="720" w:right="200"/>
        <w:spacing w:after="0" w:line="259" w:lineRule="auto"/>
        <w:rPr>
          <w:sz w:val="20"/>
          <w:szCs w:val="20"/>
          <w:color w:val="auto"/>
        </w:rPr>
      </w:pPr>
      <w:r>
        <w:rPr>
          <w:rFonts w:ascii="Times New Roman" w:cs="Times New Roman" w:eastAsia="Times New Roman" w:hAnsi="Times New Roman"/>
          <w:sz w:val="21"/>
          <w:szCs w:val="21"/>
          <w:color w:val="auto"/>
        </w:rPr>
        <w:t>PSH HHH Preferred Holding IX, Ltd., PSH HHH Preferred Holding X, Ltd., PSH HHH Preferred Holding XI, Ltd., PSH HHH Preferred Holding XII, Ltd., PSH HHH Preferred Holding XIII, Ltd. and PSH HHH Preferred Holding XIV, Ltd.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54" w:lineRule="exact"/>
        <w:rPr>
          <w:sz w:val="20"/>
          <w:szCs w:val="20"/>
          <w:color w:val="auto"/>
        </w:rPr>
      </w:pPr>
    </w:p>
    <w:p>
      <w:pPr>
        <w:ind w:left="1260"/>
        <w:spacing w:after="0" w:line="278" w:lineRule="auto"/>
        <w:rPr>
          <w:sz w:val="20"/>
          <w:szCs w:val="20"/>
          <w:color w:val="auto"/>
        </w:rPr>
      </w:pPr>
      <w:r>
        <w:rPr>
          <w:rFonts w:ascii="Times New Roman" w:cs="Times New Roman" w:eastAsia="Times New Roman" w:hAnsi="Times New Roman"/>
          <w:sz w:val="21"/>
          <w:szCs w:val="21"/>
          <w:color w:val="auto"/>
        </w:rPr>
        <w:t>After reasonable inquiry and to the best of my knowledge and belief, I certify that the information set forth in this statement is true, complete and correct.</w:t>
      </w:r>
    </w:p>
    <w:p>
      <w:pPr>
        <w:spacing w:after="0" w:line="28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color w:val="auto"/>
        </w:rPr>
        <w:t>Pershing Square Capital Management, L.P.</w:t>
      </w:r>
    </w:p>
    <w:p>
      <w:pPr>
        <w:spacing w:after="0" w:line="162"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Signature:</w:t>
        <w:tab/>
        <w:t>/s/ William A. Ackman</w:t>
      </w:r>
    </w:p>
    <w:p>
      <w:pPr>
        <w:spacing w:after="0" w:line="5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Name/Title: Authorized Signatory</w:t>
      </w:r>
    </w:p>
    <w:p>
      <w:pPr>
        <w:spacing w:after="0" w:line="54"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06/08/2026</w:t>
      </w:r>
    </w:p>
    <w:p>
      <w:pPr>
        <w:spacing w:after="0" w:line="1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Pershing Square HHH Holdings, LLC</w:t>
      </w:r>
    </w:p>
    <w:p>
      <w:pPr>
        <w:spacing w:after="0" w:line="162"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Signature:</w:t>
        <w:tab/>
        <w:t>/s/ William A. Ackman</w:t>
      </w:r>
    </w:p>
    <w:p>
      <w:pPr>
        <w:spacing w:after="0" w:line="5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Name/Title: Authorized Signatory</w:t>
      </w:r>
    </w:p>
    <w:p>
      <w:pPr>
        <w:spacing w:after="0" w:line="54"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06/08/2026</w:t>
      </w:r>
    </w:p>
    <w:p>
      <w:pPr>
        <w:spacing w:after="0" w:line="16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Pershing Square Inc.</w:t>
      </w:r>
    </w:p>
    <w:p>
      <w:pPr>
        <w:spacing w:after="0" w:line="162"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Signature:</w:t>
        <w:tab/>
        <w:t>/s/ William A. Ackman</w:t>
      </w:r>
    </w:p>
    <w:p>
      <w:pPr>
        <w:spacing w:after="0" w:line="5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Name/Title: Authorized Signatory</w:t>
      </w:r>
    </w:p>
    <w:p>
      <w:pPr>
        <w:spacing w:after="0" w:line="54"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06/08/2026</w:t>
      </w:r>
    </w:p>
    <w:p>
      <w:pPr>
        <w:spacing w:after="0" w:line="1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Pershing Square Partner Group, LLC</w:t>
      </w:r>
    </w:p>
    <w:p>
      <w:pPr>
        <w:spacing w:after="0" w:line="162"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Signature:</w:t>
        <w:tab/>
        <w:t>/s/ William A. Ackman</w:t>
      </w:r>
    </w:p>
    <w:p>
      <w:pPr>
        <w:spacing w:after="0" w:line="5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Name/Title: Authorized Signatory</w:t>
      </w:r>
    </w:p>
    <w:p>
      <w:pPr>
        <w:spacing w:after="0" w:line="54"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06/08/2026</w:t>
      </w:r>
    </w:p>
    <w:p>
      <w:pPr>
        <w:spacing w:after="0" w:line="16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Pershing Square Management, LLC</w:t>
      </w:r>
    </w:p>
    <w:p>
      <w:pPr>
        <w:spacing w:after="0" w:line="162"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Signature:</w:t>
        <w:tab/>
        <w:t>/s/ William A. Ackman</w:t>
      </w:r>
    </w:p>
    <w:p>
      <w:pPr>
        <w:spacing w:after="0" w:line="5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Name/Title: Authorized Signatory</w:t>
      </w:r>
    </w:p>
    <w:p>
      <w:pPr>
        <w:spacing w:after="0" w:line="54"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06/08/2026</w:t>
      </w:r>
    </w:p>
    <w:p>
      <w:pPr>
        <w:spacing w:after="0" w:line="16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William A. Ackman</w:t>
      </w:r>
    </w:p>
    <w:p>
      <w:pPr>
        <w:spacing w:after="0" w:line="162"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Signature:</w:t>
        <w:tab/>
        <w:t>/s/ William A. Ackman</w:t>
      </w:r>
    </w:p>
    <w:p>
      <w:pPr>
        <w:spacing w:after="0" w:line="5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color w:val="auto"/>
        </w:rPr>
        <w:t>Name/Title: William A. Ackman</w:t>
      </w:r>
    </w:p>
    <w:p>
      <w:pPr>
        <w:spacing w:after="0" w:line="54"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06/08/2026</w:t>
      </w:r>
    </w:p>
    <w:p>
      <w:pPr>
        <w:sectPr>
          <w:pgSz w:w="11900" w:h="16838" w:orient="portrait"/>
          <w:cols w:equalWidth="0" w:num="1">
            <w:col w:w="10920"/>
          </w:cols>
          <w:pgMar w:left="580" w:top="111" w:right="3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99.44</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Howard Hughes Holdings Inc.</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Pershing Square Holdings, Ltd.</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Howard Hughes Insurance Holdings, LLC</w:t>
      </w:r>
    </w:p>
    <w:p>
      <w:pPr>
        <w:spacing w:after="0" w:line="2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Dated as of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428625</wp:posOffset>
            </wp:positionV>
            <wp:extent cx="7132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44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89"/>
        </w:trPr>
        <w:tc>
          <w:tcPr>
            <w:tcW w:w="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51"/>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1.</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and Sale</w:t>
            </w:r>
          </w:p>
        </w:tc>
        <w:tc>
          <w:tcPr>
            <w:tcW w:w="71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9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 Closing</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9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3.</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Use of Proceeds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9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4.</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9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5.</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Covenants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9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6.</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Miscellaneous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645"/>
        </w:trPr>
        <w:tc>
          <w:tcPr>
            <w:tcW w:w="4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7" w:lineRule="exact"/>
        <w:rPr>
          <w:sz w:val="20"/>
          <w:szCs w:val="20"/>
          <w:color w:val="auto"/>
        </w:rPr>
      </w:pPr>
    </w:p>
    <w:p>
      <w:pPr>
        <w:ind w:firstLine="1290"/>
        <w:spacing w:after="0" w:line="254" w:lineRule="auto"/>
        <w:rPr>
          <w:sz w:val="20"/>
          <w:szCs w:val="20"/>
          <w:color w:val="auto"/>
        </w:rPr>
      </w:pPr>
      <w:r>
        <w:rPr>
          <w:rFonts w:ascii="Times New Roman" w:cs="Times New Roman" w:eastAsia="Times New Roman" w:hAnsi="Times New Roman"/>
          <w:sz w:val="18"/>
          <w:szCs w:val="18"/>
          <w:color w:val="auto"/>
        </w:rPr>
        <w:t>THE SECURITIES SUBSCRIBED FOR BY THIS AGREEMENT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OTHER APPLICABLE STATE SECURITIES LAWS AND CANNOT BE OFFERED, SOLD, OR OTHERWISE TRANSFERRED IN THE ABSENCE OF REGISTRATION OR THE AVAILABILITY OF AN EXEMPTION FROM REGISTRATION UNDER THE SECURITIES ACT AND REGULATIONS PROMULGATED THEREUNDER AND APPLICABLE STATE SECURITIES LAWS. TRANSFER OF SUCH SECURITIES IS ALSO RESTRICTED BY THE TERMS OF THIS AGREEMENT. THE SUBSCRIBER SHOULD BE AWARE THAT IT WILL BE REQUIRED TO BEAR THE FINANCIAL RISKS OF THIS INVESTMENT FOR AN INDEFINITE PERIOD OF TIME.</w:t>
      </w:r>
    </w:p>
    <w:p>
      <w:pPr>
        <w:spacing w:after="0" w:line="186" w:lineRule="exact"/>
        <w:rPr>
          <w:sz w:val="20"/>
          <w:szCs w:val="20"/>
          <w:color w:val="auto"/>
        </w:rPr>
      </w:pPr>
    </w:p>
    <w:p>
      <w:pPr>
        <w:ind w:right="300" w:firstLine="1290"/>
        <w:spacing w:after="0" w:line="259" w:lineRule="auto"/>
        <w:rPr>
          <w:sz w:val="20"/>
          <w:szCs w:val="20"/>
          <w:color w:val="auto"/>
        </w:rPr>
      </w:pPr>
      <w:r>
        <w:rPr>
          <w:rFonts w:ascii="Times New Roman" w:cs="Times New Roman" w:eastAsia="Times New Roman" w:hAnsi="Times New Roman"/>
          <w:sz w:val="18"/>
          <w:szCs w:val="18"/>
          <w:color w:val="auto"/>
        </w:rPr>
        <w:t>This SUBSCRIPTION AGREEMENT, dated as of June 4,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between Howard Hughes Holdings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Pershing Square Holdings, Ltd. (the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 and Howard Hughes Insurance Holdings, LLC (“</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The Issuer, the Subscriber and InsuranceCo are collectively referred to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Capitalized terms not otherwise defined herein shall have the respective meanings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as applicable.</w:t>
      </w:r>
    </w:p>
    <w:p>
      <w:pPr>
        <w:spacing w:after="0" w:line="181" w:lineRule="exact"/>
        <w:rPr>
          <w:sz w:val="20"/>
          <w:szCs w:val="20"/>
          <w:color w:val="auto"/>
        </w:rPr>
      </w:pPr>
    </w:p>
    <w:p>
      <w:pPr>
        <w:ind w:right="20" w:firstLine="1290"/>
        <w:spacing w:after="0" w:line="264" w:lineRule="auto"/>
        <w:rPr>
          <w:sz w:val="20"/>
          <w:szCs w:val="20"/>
          <w:color w:val="auto"/>
        </w:rPr>
      </w:pPr>
      <w:r>
        <w:rPr>
          <w:rFonts w:ascii="Times New Roman" w:cs="Times New Roman" w:eastAsia="Times New Roman" w:hAnsi="Times New Roman"/>
          <w:sz w:val="18"/>
          <w:szCs w:val="18"/>
          <w:color w:val="auto"/>
        </w:rPr>
        <w:t>WHEREAS, the Issuer desires to sell to the Subscriber, and the Subscriber desires to purchase from the Issuer, one hundred forty thousand (140,000) shares of Series A Non-Voting Exchangeable Perpetual Preferred Stock of the Issuer, par value $0.01 per share, subject to the terms and conditions set forth in this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right="40" w:firstLine="1290"/>
        <w:spacing w:after="0" w:line="280" w:lineRule="auto"/>
        <w:rPr>
          <w:sz w:val="20"/>
          <w:szCs w:val="20"/>
          <w:color w:val="auto"/>
        </w:rPr>
      </w:pPr>
      <w:r>
        <w:rPr>
          <w:rFonts w:ascii="Times New Roman" w:cs="Times New Roman" w:eastAsia="Times New Roman" w:hAnsi="Times New Roman"/>
          <w:sz w:val="18"/>
          <w:szCs w:val="18"/>
          <w:color w:val="auto"/>
        </w:rPr>
        <w:t>WHEREAS, certain parties thereto entered into the Purchase and Sale Agreement, dated December 17, 2025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whereby InsuranceCo agreed to acquire all outstanding common stock of Vantage Group Holdings Ltd.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1290"/>
        <w:spacing w:after="0" w:line="271" w:lineRule="auto"/>
        <w:rPr>
          <w:sz w:val="20"/>
          <w:szCs w:val="20"/>
          <w:color w:val="auto"/>
        </w:rPr>
      </w:pPr>
      <w:r>
        <w:rPr>
          <w:rFonts w:ascii="Times New Roman" w:cs="Times New Roman" w:eastAsia="Times New Roman" w:hAnsi="Times New Roman"/>
          <w:sz w:val="17"/>
          <w:szCs w:val="17"/>
          <w:color w:val="auto"/>
        </w:rPr>
        <w:t>WHEREAS, concurrently with the execution of the Purchase Agreement, Subscriber delivered to the Issuer an Equity Commitment Letter (the “</w:t>
      </w:r>
      <w:r>
        <w:rPr>
          <w:rFonts w:ascii="Times New Roman" w:cs="Times New Roman" w:eastAsia="Times New Roman" w:hAnsi="Times New Roman"/>
          <w:sz w:val="17"/>
          <w:szCs w:val="17"/>
          <w:u w:val="single" w:color="auto"/>
          <w:color w:val="auto"/>
        </w:rPr>
        <w:t>Equity Commitment Letter</w:t>
      </w:r>
      <w:r>
        <w:rPr>
          <w:rFonts w:ascii="Times New Roman" w:cs="Times New Roman" w:eastAsia="Times New Roman" w:hAnsi="Times New Roman"/>
          <w:sz w:val="17"/>
          <w:szCs w:val="17"/>
          <w:color w:val="auto"/>
        </w:rPr>
        <w:t>”), dated December 17, 2025, whereby the Subscriber agreed to contribute equity capital (the “</w:t>
      </w:r>
      <w:r>
        <w:rPr>
          <w:rFonts w:ascii="Times New Roman" w:cs="Times New Roman" w:eastAsia="Times New Roman" w:hAnsi="Times New Roman"/>
          <w:sz w:val="17"/>
          <w:szCs w:val="17"/>
          <w:u w:val="single" w:color="auto"/>
          <w:color w:val="auto"/>
        </w:rPr>
        <w:t>Equity Commitment</w:t>
      </w:r>
      <w:r>
        <w:rPr>
          <w:rFonts w:ascii="Times New Roman" w:cs="Times New Roman" w:eastAsia="Times New Roman" w:hAnsi="Times New Roman"/>
          <w:sz w:val="17"/>
          <w:szCs w:val="17"/>
          <w:color w:val="auto"/>
        </w:rPr>
        <w:t>”) solely for the purpose of funding, and to the extent necessary to fund, the payment of a portion of Issuer’s (i) closing payments, (ii) closing fees and expenses and</w:t>
      </w:r>
    </w:p>
    <w:p>
      <w:pPr>
        <w:spacing w:after="0" w:line="1" w:lineRule="exact"/>
        <w:rPr>
          <w:sz w:val="20"/>
          <w:szCs w:val="20"/>
          <w:color w:val="auto"/>
        </w:rPr>
      </w:pPr>
    </w:p>
    <w:p>
      <w:pPr>
        <w:ind w:right="340" w:firstLine="7"/>
        <w:spacing w:after="0" w:line="258" w:lineRule="auto"/>
        <w:tabs>
          <w:tab w:leader="none" w:pos="31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equity capital contributions to InsuranceCo on or immediately after the closing of the Acquisition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which will be used for working capital and general corporate purposes (collectively, the “</w:t>
      </w:r>
      <w:r>
        <w:rPr>
          <w:rFonts w:ascii="Times New Roman" w:cs="Times New Roman" w:eastAsia="Times New Roman" w:hAnsi="Times New Roman"/>
          <w:sz w:val="18"/>
          <w:szCs w:val="18"/>
          <w:u w:val="single" w:color="auto"/>
          <w:color w:val="auto"/>
        </w:rPr>
        <w:t>Issuer Payment Obligations</w:t>
      </w:r>
      <w:r>
        <w:rPr>
          <w:rFonts w:ascii="Times New Roman" w:cs="Times New Roman" w:eastAsia="Times New Roman" w:hAnsi="Times New Roman"/>
          <w:sz w:val="18"/>
          <w:szCs w:val="18"/>
          <w:color w:val="auto"/>
        </w:rPr>
        <w:t>”); and</w:t>
      </w:r>
    </w:p>
    <w:p>
      <w:pPr>
        <w:spacing w:after="0" w:line="181" w:lineRule="exact"/>
        <w:rPr>
          <w:sz w:val="20"/>
          <w:szCs w:val="20"/>
          <w:color w:val="auto"/>
        </w:rPr>
      </w:pPr>
    </w:p>
    <w:p>
      <w:pPr>
        <w:ind w:right="160" w:firstLine="1290"/>
        <w:spacing w:after="0" w:line="280" w:lineRule="auto"/>
        <w:rPr>
          <w:sz w:val="20"/>
          <w:szCs w:val="20"/>
          <w:color w:val="auto"/>
        </w:rPr>
      </w:pPr>
      <w:r>
        <w:rPr>
          <w:rFonts w:ascii="Times New Roman" w:cs="Times New Roman" w:eastAsia="Times New Roman" w:hAnsi="Times New Roman"/>
          <w:sz w:val="18"/>
          <w:szCs w:val="18"/>
          <w:color w:val="auto"/>
        </w:rPr>
        <w:t xml:space="preserve">WHEREAS, the Issuer adopted its Certificate of Designations of Series A Non-Voting Exchangeable Perpetual Preferred Stock, dated as the date hereof, set forth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00" w:firstLine="1290"/>
        <w:spacing w:after="0" w:line="280"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of the representations, warranties, covenants and agreements set forth in this Agreement, the Issuer, the Subscriber and InsuranceCo, each intending to be legally bound, agree as follows:</w:t>
      </w:r>
    </w:p>
    <w:p>
      <w:pPr>
        <w:spacing w:after="0" w:line="162" w:lineRule="exact"/>
        <w:rPr>
          <w:sz w:val="20"/>
          <w:szCs w:val="20"/>
          <w:color w:val="auto"/>
        </w:rPr>
      </w:pPr>
    </w:p>
    <w:p>
      <w:pPr>
        <w:ind w:right="40" w:firstLine="645"/>
        <w:spacing w:after="0" w:line="255"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On the terms and subject to the conditions set forth in this Agreement, at the Subscription Closing (as defined below), the Issuer shall issue and sell to the Subscriber, and the Subscriber shall subscribe for and purchase from the Issuer, one hundred forty thousand (140,000) shares of the Series A Non-Voting Exchangeable Perpetual Preferred Stock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At the Subscription Closing, the Subscriber shall pay or cause to be paid to the Issuer an amount in cash equal to $7,142.85714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for each Purchased Share by wire transfer of immediately available funds to the bank account of the Issuer. The aggregate cash amount equal to the product of (i) the Per Share Purchase Price and (ii) the number of Purchased Shares, shall be referred to in this Agreement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402590</wp:posOffset>
            </wp:positionV>
            <wp:extent cx="7132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Subscription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340" w:firstLine="645"/>
        <w:spacing w:after="0" w:line="280" w:lineRule="auto"/>
        <w:rPr>
          <w:sz w:val="20"/>
          <w:szCs w:val="20"/>
          <w:color w:val="auto"/>
        </w:rPr>
      </w:pPr>
      <w:r>
        <w:rPr>
          <w:rFonts w:ascii="Times New Roman" w:cs="Times New Roman" w:eastAsia="Times New Roman" w:hAnsi="Times New Roman"/>
          <w:sz w:val="18"/>
          <w:szCs w:val="18"/>
          <w:color w:val="auto"/>
        </w:rPr>
        <w:t>(a)            The closing of the Transaction (the “</w:t>
      </w:r>
      <w:r>
        <w:rPr>
          <w:rFonts w:ascii="Times New Roman" w:cs="Times New Roman" w:eastAsia="Times New Roman" w:hAnsi="Times New Roman"/>
          <w:sz w:val="18"/>
          <w:szCs w:val="18"/>
          <w:u w:val="single" w:color="auto"/>
          <w:color w:val="auto"/>
        </w:rPr>
        <w:t>Subscription Closing</w:t>
      </w:r>
      <w:r>
        <w:rPr>
          <w:rFonts w:ascii="Times New Roman" w:cs="Times New Roman" w:eastAsia="Times New Roman" w:hAnsi="Times New Roman"/>
          <w:sz w:val="18"/>
          <w:szCs w:val="18"/>
          <w:color w:val="auto"/>
        </w:rPr>
        <w:t>”) shall take place on the Subscription Closing Date via electronic exchange of documents and signatures simultaneously with the Closing.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 At the Subscription Closing,</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Issuer shall:</w:t>
      </w:r>
    </w:p>
    <w:p>
      <w:pPr>
        <w:spacing w:after="0" w:line="22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cause the Purchased Shares to be delivered to account(s) specified by the Subscriber to the Issuer in writing;</w:t>
      </w:r>
    </w:p>
    <w:p>
      <w:pPr>
        <w:spacing w:after="0" w:line="223" w:lineRule="exact"/>
        <w:rPr>
          <w:sz w:val="20"/>
          <w:szCs w:val="20"/>
          <w:color w:val="auto"/>
        </w:rPr>
      </w:pPr>
    </w:p>
    <w:p>
      <w:pPr>
        <w:ind w:left="194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make a book entry in the books and records of the Issuer reflecting the Purchased Shares issued to the Subscriber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its designee(s) in accordance with this Agreement;</w:t>
      </w:r>
    </w:p>
    <w:p>
      <w:pPr>
        <w:spacing w:after="0" w:line="162" w:lineRule="exact"/>
        <w:rPr>
          <w:sz w:val="20"/>
          <w:szCs w:val="20"/>
          <w:color w:val="auto"/>
        </w:rPr>
      </w:pPr>
    </w:p>
    <w:p>
      <w:pPr>
        <w:ind w:left="1940" w:right="16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(C)             </w:t>
      </w:r>
      <w:r>
        <w:rPr>
          <w:rFonts w:ascii="Times New Roman" w:cs="Times New Roman" w:eastAsia="Times New Roman" w:hAnsi="Times New Roman"/>
          <w:sz w:val="18"/>
          <w:szCs w:val="18"/>
          <w:color w:val="000000"/>
        </w:rPr>
        <w:t>deliver to the Subscriber a file stamped copy of the Certificate of Designations from the Delaware Secretary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 with an effective time no later than the Subscription Closing; and</w:t>
      </w:r>
    </w:p>
    <w:p>
      <w:pPr>
        <w:spacing w:after="0" w:line="162" w:lineRule="exact"/>
        <w:rPr>
          <w:sz w:val="20"/>
          <w:szCs w:val="20"/>
          <w:color w:val="auto"/>
        </w:rPr>
      </w:pPr>
    </w:p>
    <w:p>
      <w:pPr>
        <w:ind w:left="1940" w:right="84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(D)             </w:t>
      </w:r>
      <w:r>
        <w:rPr>
          <w:rFonts w:ascii="Times New Roman" w:cs="Times New Roman" w:eastAsia="Times New Roman" w:hAnsi="Times New Roman"/>
          <w:sz w:val="18"/>
          <w:szCs w:val="18"/>
          <w:color w:val="000000"/>
        </w:rPr>
        <w:t>deliver to the Subscriber and InsuranceCo the Certificate of Designations and the Registration Rights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duly executed by the Issuer.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Subscriber shall:</w:t>
      </w:r>
    </w:p>
    <w:p>
      <w:pPr>
        <w:spacing w:after="0" w:line="223" w:lineRule="exact"/>
        <w:rPr>
          <w:sz w:val="20"/>
          <w:szCs w:val="20"/>
          <w:color w:val="auto"/>
        </w:rPr>
      </w:pPr>
    </w:p>
    <w:p>
      <w:pPr>
        <w:ind w:left="1940" w:right="360" w:firstLine="645"/>
        <w:spacing w:after="0" w:line="28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pay or cause to be paid to the Issuer the Purchase Price in immediately available funds by wire transfer to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account specified by the Issuer to the Subscriber in writing; and</w:t>
      </w:r>
    </w:p>
    <w:p>
      <w:pPr>
        <w:spacing w:after="0" w:line="16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deliver to the Issuer and InsuranceCo the Registration Rights Agreement, duly executed by the Subscriber.</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InsuranceCo shall deliver to the Subscriber and the Issuer the Registration Rights Agreement, duly executed by InsuranceCo.</w:t>
      </w:r>
    </w:p>
    <w:p>
      <w:pPr>
        <w:spacing w:after="0" w:line="223"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In accordance with the terms and conditions of the Equity Commitment Letter, the Issuer will use the proceeds from the Equity Commitment solely for the Issuer Payment Obligations.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645"/>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 of the Issuer</w:t>
      </w:r>
      <w:r>
        <w:rPr>
          <w:rFonts w:ascii="Times New Roman" w:cs="Times New Roman" w:eastAsia="Times New Roman" w:hAnsi="Times New Roman"/>
          <w:sz w:val="18"/>
          <w:szCs w:val="18"/>
          <w:color w:val="auto"/>
        </w:rPr>
        <w:t>. The Issuer represents and warrants to the Subscriber, as set forth below, except (x) as set forth in the Issuer’s Annual Report on Form 10-K for the year ended December 31, 2025 (but not in documents filed as exhibits thereto or documents incorporated by reference therein) filed with the SEC on February 19, 2026 but excluding any “risk factor” disclosure or any other forward-looking disclosures contained in such reports under the headings “Risk Factors” or “Cautionary Note” or any similar sections or (y) as set forth in the disclosure schedule delivered by the Issuer to the Subscriber and InsuranceCo on the date of this Agreement (the “</w:t>
      </w:r>
      <w:r>
        <w:rPr>
          <w:rFonts w:ascii="Times New Roman" w:cs="Times New Roman" w:eastAsia="Times New Roman" w:hAnsi="Times New Roman"/>
          <w:sz w:val="18"/>
          <w:szCs w:val="18"/>
          <w:u w:val="single" w:color="auto"/>
          <w:color w:val="auto"/>
        </w:rPr>
        <w:t>Issuer Disclosure Letter</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00" w:firstLine="129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xml:space="preserve"> The Issuer and each of the Issuer Subsidiaries is duly organized and is validly existing as a corporation or other form of entity, where applicable, in good standing under the Laws of their respective jurisdictions of organization, with the requisite power and authority to own, operate or manage its properties and conduct its business as currently conducted, except to the extent the failure of such Subsidiary to be in good standing (to the extent the concept of good standing is applicable in its jurisdiction of organization) would not reasonably be expected to have, individually or in the aggregate, a Material Adverse Effect. The Issuer and each of the Issuer Subsidiaries has been duly qualified as a foreign corporation or other form of entity for the transaction of business and, where applicable, is in good standing under the Laws of each other jurisdiction in which it owns, manages, operates or leases properties or conducts business so as to require such qualification, except to the extent the failure to be so qualified or, where applicable, be in good standing would not reasonably be expected to have, individually or in the aggregate, a Material Adverse Effect.</w:t>
      </w:r>
    </w:p>
    <w:p>
      <w:pPr>
        <w:spacing w:after="0" w:line="186" w:lineRule="exact"/>
        <w:rPr>
          <w:sz w:val="20"/>
          <w:szCs w:val="20"/>
          <w:color w:val="auto"/>
        </w:rPr>
      </w:pPr>
    </w:p>
    <w:p>
      <w:pPr>
        <w:ind w:right="100" w:firstLine="1290"/>
        <w:spacing w:after="0" w:line="265"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Corporate Power and Authority</w:t>
      </w:r>
      <w:r>
        <w:rPr>
          <w:rFonts w:ascii="Times New Roman" w:cs="Times New Roman" w:eastAsia="Times New Roman" w:hAnsi="Times New Roman"/>
          <w:sz w:val="18"/>
          <w:szCs w:val="18"/>
          <w:color w:val="auto"/>
        </w:rPr>
        <w:t>. The Issuer has the requisite power and authority to enter into, execute and deliver this Agreement and to perform its obligations hereunder. The Issuer has taken all necessary corporate action required for the due authorization, execution, delivery and performance by it of this Agreement.</w:t>
      </w:r>
    </w:p>
    <w:p>
      <w:pPr>
        <w:spacing w:after="0" w:line="174" w:lineRule="exact"/>
        <w:rPr>
          <w:sz w:val="20"/>
          <w:szCs w:val="20"/>
          <w:color w:val="auto"/>
        </w:rPr>
      </w:pPr>
    </w:p>
    <w:p>
      <w:pPr>
        <w:ind w:right="440" w:firstLine="1290"/>
        <w:spacing w:after="0" w:line="26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Execution and Delivery; Enforceability.</w:t>
      </w:r>
      <w:r>
        <w:rPr>
          <w:rFonts w:ascii="Times New Roman" w:cs="Times New Roman" w:eastAsia="Times New Roman" w:hAnsi="Times New Roman"/>
          <w:sz w:val="18"/>
          <w:szCs w:val="18"/>
          <w:color w:val="auto"/>
        </w:rPr>
        <w:t xml:space="preserve"> This Agreement has been duly and validly executed and delivered by the Issuer and, assuming due and valid execution and delivery by the Subscriber and InsuranceCo, constitutes its valid and binding obligation, enforceable against the Issuer in accordance with its terms, except as such enforceability may be limited by general principles of equity, including principles of commercial reasonableness, good faith and fair dealing (regardless of whether enforcement is sought in a proceeding at Law or in equity).</w:t>
      </w:r>
    </w:p>
    <w:p>
      <w:pPr>
        <w:spacing w:after="0" w:line="178" w:lineRule="exact"/>
        <w:rPr>
          <w:sz w:val="20"/>
          <w:szCs w:val="20"/>
          <w:color w:val="auto"/>
        </w:rPr>
      </w:pPr>
    </w:p>
    <w:p>
      <w:pPr>
        <w:ind w:firstLine="1290"/>
        <w:spacing w:after="0" w:line="25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Authorized Capital Stock.</w:t>
      </w:r>
      <w:r>
        <w:rPr>
          <w:rFonts w:ascii="Times New Roman" w:cs="Times New Roman" w:eastAsia="Times New Roman" w:hAnsi="Times New Roman"/>
          <w:sz w:val="18"/>
          <w:szCs w:val="18"/>
          <w:color w:val="auto"/>
        </w:rPr>
        <w:t xml:space="preserve"> As of the date of this Agreement, the authorized capital stock of the Issuer consists of 150,000,000 shares of common stock and 50,000,000 shares of preferred stock. The issued and outstanding capital stock of the Issuer and the shares of common stock available for grant pursuant to The Howard Hughes Corporation 2010 Amended and Restated Incentive Plan and The Howard Hughes Corporation 2025 Equity Incentive Plan as of May 28, 2026 is set forth on Section 4(a)(iv) of the Issuer Disclosure Letter. From December 31, 2025 to the date of this Agreement, other than in connection with the issuance of shares of common stock pursuant to the exercise of options outstanding as of December 31, 2025, there has been no change in the number of outstanding shares of capital stock of the Issuer or the number of outstanding Issuer Equity Securities (as defined below). From December 31, 2025 until the date of this Agreement other than as specified in the first sentence of this paragraph, there was not outstanding, and there was not reserved for issuance, any (A) share of capital stock or other voting securities of the Issuer or its Subsidiaries; (B) security of the Issuer or the Issuer Subsidiaries convertible into or exchangeable or exercisable for shares of capital stock or voting securities of the Issuer or the Issuer Subsidiaries; (C) option or other right to acquire from the Issuer or the Issuer Subsidiaries, or obligation of the Issuer or the Issuer Subsidiaries to issue, any shares of capital stock, voting securities or security convertible into or exercisable or exchangeable for shares of capital stock or voting securities of the Issuer or the Issuer Subsidiaries, as the case may be; or (D) equity equivalent interest in the ownership or earnings of the Issuer or the Issuer Subsidiaries or other similar right, in each case, to which the Issuer or an Issuer Subsidiary is a party (the items in clauses (A) through (D) collectively, “</w:t>
      </w:r>
      <w:r>
        <w:rPr>
          <w:rFonts w:ascii="Times New Roman" w:cs="Times New Roman" w:eastAsia="Times New Roman" w:hAnsi="Times New Roman"/>
          <w:sz w:val="18"/>
          <w:szCs w:val="18"/>
          <w:u w:val="single" w:color="auto"/>
          <w:color w:val="auto"/>
        </w:rPr>
        <w:t>Issuer Equity Securities</w:t>
      </w:r>
      <w:r>
        <w:rPr>
          <w:rFonts w:ascii="Times New Roman" w:cs="Times New Roman" w:eastAsia="Times New Roman" w:hAnsi="Times New Roman"/>
          <w:sz w:val="18"/>
          <w:szCs w:val="18"/>
          <w:color w:val="auto"/>
        </w:rPr>
        <w:t>”). Except pursuant to any agreement in effect between the Issuer and the Subscriber’s Affiliates, (x) there is no outstanding obligation of the Issuer or the Issuer Subsidiaries to repurchase, redeem or otherwise acquire any Issuer Equity Security and (y) there is no stockholder agreement, voting trust or other agreement or understanding to which the Issuer is a party or by which the Issuer is bound relating to the voting, purchase, transfer or registration of any shares of capital stock of the Issuer or preemptive rights with respect thereto.</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5" w:name="page16"/>
    <w:bookmarkEnd w:id="15"/>
    <w:p>
      <w:pPr>
        <w:ind w:right="20" w:firstLine="1290"/>
        <w:spacing w:after="0" w:line="257"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i w:val="1"/>
          <w:iCs w:val="1"/>
          <w:color w:val="auto"/>
        </w:rPr>
        <w:t>Issuance.</w:t>
      </w:r>
      <w:r>
        <w:rPr>
          <w:rFonts w:ascii="Times New Roman" w:cs="Times New Roman" w:eastAsia="Times New Roman" w:hAnsi="Times New Roman"/>
          <w:sz w:val="18"/>
          <w:szCs w:val="18"/>
          <w:color w:val="auto"/>
        </w:rPr>
        <w:t xml:space="preserve"> The issuance of the Purchased Shares has been duly and validly authorized. When the Purchased Shares are issued and delivered in accordance with the terms of this Agreement against payment therefor, the Purchased Shares shall be duly and validly issued, fully paid and non-assessable and free and clear of all taxes, Liens, pre-emptive rights, rights of first refusal and subscription rights, other than rights and restrictions under this Agreement, the Certificate of Designations, the Voting Proxy Agreement, the Registration Rights Agreement and applicable state and federal securities Laws.</w:t>
      </w:r>
    </w:p>
    <w:p>
      <w:pPr>
        <w:spacing w:after="0" w:line="182" w:lineRule="exact"/>
        <w:rPr>
          <w:sz w:val="20"/>
          <w:szCs w:val="20"/>
          <w:color w:val="auto"/>
        </w:rPr>
      </w:pPr>
    </w:p>
    <w:p>
      <w:pPr>
        <w:ind w:firstLine="1290"/>
        <w:spacing w:after="0" w:line="25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xml:space="preserve"> The execution and delivery by the Issuer of this Agreement, the performance by the Issuer of its respective obligations under this Agreement and compliance by the Issuer with all of the provisions hereof and thereof and the consummation of the Transaction, (x) shall not conflict with, or result in a breach or violation of, any of the terms or provisions of, or constitute a default under, or result in the acceleration of, or the creation of any Lien under, or give rise to any termination right under, any Contract to which the Issuer or any of the Issuer Subsidiaries is a party or by which any of their material assets are subject or encumbered, (y) shall not result in any violation or breach of any terms, conditions or provisions of the certificate of incorporation or bylaws of the Issuer, or the comparable organizational documents of the Issuer’s Subsidiaries, and (z) shall not conflict with or result in any violation or breach of, or any termination or impairment of any rights under, any statute or any license, authorization, injunction, judgment, order, decree, rule or regulation of any court or governmental agency or body having jurisdiction over the Issuer or any of the Issuer Subsidiaries or any of their respective properties or assets, except, in the case of each of clauses (x) and (z) above, for any such conflict, breach, acceleration, Lien, termination, impairment, failure to comply, default or violation that would not, individually or in the aggregate, be reasonably expected to have a Material Adverse Effect.</w:t>
      </w:r>
    </w:p>
    <w:p>
      <w:pPr>
        <w:spacing w:after="0" w:line="189" w:lineRule="exact"/>
        <w:rPr>
          <w:sz w:val="20"/>
          <w:szCs w:val="20"/>
          <w:color w:val="auto"/>
        </w:rPr>
      </w:pPr>
    </w:p>
    <w:p>
      <w:pPr>
        <w:ind w:right="20" w:firstLine="1290"/>
        <w:spacing w:after="0" w:line="257"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 xml:space="preserve"> No consent, approval, authorization, order, registration or qualification of or with any Governmental Entity having jurisdiction over the Issuer or the Issuer Subsidiaries or any of their respective properties is required for (A) the issuance, sale and delivery of the Purchased Shares and (B) the execution and delivery by the Issuer of this Agreement and performance of and compliance by the Issuer with all of the provisions hereof and the consummation of the Transaction, except filings required under, and compliance with the applicable requirements of the Exchange Act and the rules and regulations promulgated thereunder, the Securities Act and the rules and regulations promulgated thereunder.</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i w:val="1"/>
          <w:iCs w:val="1"/>
          <w:color w:val="auto"/>
        </w:rPr>
        <w:t>Issuer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40" w:right="40" w:firstLine="645"/>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Issuer has filed with or otherwise furnished to the SEC all material forms, reports, schedules, statements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documents required to be filed or furnished by it under the Securities Act or the Exchange Act since December 31, 2022 (such documents, as supplemented or amended since the time of filing, and together with all information incorporated by reference therein, the “</w:t>
      </w:r>
      <w:r>
        <w:rPr>
          <w:rFonts w:ascii="Times New Roman" w:cs="Times New Roman" w:eastAsia="Times New Roman" w:hAnsi="Times New Roman"/>
          <w:sz w:val="18"/>
          <w:szCs w:val="18"/>
          <w:u w:val="single" w:color="auto"/>
          <w:color w:val="000000"/>
        </w:rPr>
        <w:t>Issuer SEC Reports</w:t>
      </w:r>
      <w:r>
        <w:rPr>
          <w:rFonts w:ascii="Times New Roman" w:cs="Times New Roman" w:eastAsia="Times New Roman" w:hAnsi="Times New Roman"/>
          <w:sz w:val="18"/>
          <w:szCs w:val="18"/>
          <w:color w:val="000000"/>
        </w:rPr>
        <w:t>”). No Issuer Subsidiary is required to file with the SEC any such forms, reports, schedules, statements or other documents pursuant to Section 13 or 15 of the Exchange Act. As of their respective effective dates (in the case of Issuer SEC Reports that are registration statements filed pursuant to the requirements of the Securities Act) and as of their respective filing dates (in the case of all other Issuer SEC Reports), except as and to the extent modified, amended, restated, corrected, updated or superseded by any subsequent Issuer SEC Report filed and publicly available prior to the date of this Agreement, the Issuer SEC Reports (i) complied in all material respects with the applicable requirements of the Securities Act and the Exchange Act, and the rules and regulations of the SEC promulgated thereunder applicable to such Issuer SEC Reports, and (ii) did not contain any untrue statement of a material fact or omit to state a material fact required to be stated therein or necessary to make the statements therein, in light of the circumstances under which they were made, not misleading.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6" w:name="page17"/>
    <w:bookmarkEnd w:id="16"/>
    <w:p>
      <w:pPr>
        <w:ind w:left="820" w:firstLine="645"/>
        <w:spacing w:after="0" w:line="253"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The Issuer maintains a system of “internal controls over financial reporting” (as defined in Rules 13a-15(f)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15a-15(f) under the Exchange Act) that provides reasonable assurance regarding the reliability of the Issuer’s financial reporting and the preparation of the Issuer’s financial statements for external purposes in accordance with GAAP and that includes policies and procedures that (i) pertain to the maintenance of records that, in reasonable detail, accurately and fairly reflect the transactions and dispositions of the assets of the Issuer, (ii) 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 (iii) provide reasonable assurance regarding prevention or timely detection of unauthorized acquisition, use, or disposition of the Issuer’s assets that could have a material effect on the Issuer’s financial statements.</w:t>
      </w:r>
    </w:p>
    <w:p>
      <w:pPr>
        <w:spacing w:after="0" w:line="186" w:lineRule="exact"/>
        <w:rPr>
          <w:sz w:val="20"/>
          <w:szCs w:val="20"/>
          <w:color w:val="auto"/>
        </w:rPr>
      </w:pPr>
    </w:p>
    <w:p>
      <w:pPr>
        <w:ind w:left="820" w:right="40" w:firstLine="645"/>
        <w:spacing w:after="0" w:line="273" w:lineRule="auto"/>
        <w:rPr>
          <w:sz w:val="20"/>
          <w:szCs w:val="20"/>
          <w:color w:val="auto"/>
        </w:rPr>
      </w:pPr>
      <w:r>
        <w:rPr>
          <w:rFonts w:ascii="Times New Roman" w:cs="Times New Roman" w:eastAsia="Times New Roman" w:hAnsi="Times New Roman"/>
          <w:sz w:val="17"/>
          <w:szCs w:val="17"/>
          <w:color w:val="010000"/>
        </w:rPr>
        <w:t xml:space="preserve">(C)             </w:t>
      </w:r>
      <w:r>
        <w:rPr>
          <w:rFonts w:ascii="Times New Roman" w:cs="Times New Roman" w:eastAsia="Times New Roman" w:hAnsi="Times New Roman"/>
          <w:sz w:val="17"/>
          <w:szCs w:val="17"/>
          <w:color w:val="000000"/>
        </w:rPr>
        <w:t>The Issuer maintains a system of “disclosure controls and procedures” (as defined in Rules 13a-15(e) and 15d-15(e) under the Exchange Act) that is reasonably designed to ensure that information required to be disclosed by the Issuer in the reports that it files or submits under the Exchange Act is recorded, processed, summarized and reported within the time periods specified in the rules and forms of the SEC, and that information relating to the Issuer is accumulated and communicated to the Issuer’s management as appropriate to allow timely decisions regarding required disclosure and to make the certifications of the Chief Executive Officer and Chief Financial Officer of the Issuer required under the Exchange Act with respect to such reports.</w:t>
      </w:r>
    </w:p>
    <w:p>
      <w:pPr>
        <w:spacing w:after="0" w:line="171" w:lineRule="exact"/>
        <w:rPr>
          <w:sz w:val="20"/>
          <w:szCs w:val="20"/>
          <w:color w:val="auto"/>
        </w:rPr>
      </w:pPr>
    </w:p>
    <w:p>
      <w:pPr>
        <w:ind w:left="820" w:right="240" w:firstLine="645"/>
        <w:spacing w:after="0" w:line="26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Since May 5, 2025, the Issuer has not received any oral or written notification of a “material weakness”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Issuer’s internal controls over financial reporting. The term “material weakness” shall have the meaning assigned to it in the Statements of Auditing Standard 115, as in effect on the date hereof.</w:t>
      </w:r>
    </w:p>
    <w:p>
      <w:pPr>
        <w:spacing w:after="0" w:line="177" w:lineRule="exact"/>
        <w:rPr>
          <w:sz w:val="20"/>
          <w:szCs w:val="20"/>
          <w:color w:val="auto"/>
        </w:rPr>
      </w:pPr>
    </w:p>
    <w:p>
      <w:pPr>
        <w:ind w:left="820" w:right="120" w:firstLine="645"/>
        <w:spacing w:after="0" w:line="271" w:lineRule="auto"/>
        <w:rPr>
          <w:sz w:val="20"/>
          <w:szCs w:val="20"/>
          <w:color w:val="auto"/>
        </w:rPr>
      </w:pPr>
      <w:r>
        <w:rPr>
          <w:rFonts w:ascii="Times New Roman" w:cs="Times New Roman" w:eastAsia="Times New Roman" w:hAnsi="Times New Roman"/>
          <w:sz w:val="17"/>
          <w:szCs w:val="17"/>
          <w:color w:val="010000"/>
        </w:rPr>
        <w:t xml:space="preserve">(E)             </w:t>
      </w:r>
      <w:r>
        <w:rPr>
          <w:rFonts w:ascii="Times New Roman" w:cs="Times New Roman" w:eastAsia="Times New Roman" w:hAnsi="Times New Roman"/>
          <w:sz w:val="17"/>
          <w:szCs w:val="17"/>
          <w:color w:val="000000"/>
        </w:rPr>
        <w:t>Except as and to the extent modified, amended, restated, corrected, updated or superseded by any subsequent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Issuer SEC Report filed and publicly available prior to the date of this Agreement, the audited consolidated financial statements and the unaudited consolidated interim financial statements (including any related notes) included in the Issuer SEC Reports fairly present in all material respects, the consolidated financial position of the Issuer and its consolidated Subsidiaries as of the dates thereof and the consolidated results of their operations and their consolidated cash flows for the periods set forth therein (subject, in the case of financial statements for quarterly periods, to normal year-end adjustments) and were prepared in conformity with GAAP consistently applied during the periods involved (except as otherwise disclosed in the notes thereto).</w:t>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16510</wp:posOffset>
            </wp:positionV>
            <wp:extent cx="7132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00"/>
          </w:cols>
          <w:pgMar w:left="1440" w:top="874" w:right="359" w:bottom="1440" w:gutter="0" w:footer="0" w:header="0"/>
        </w:sectPr>
      </w:pPr>
    </w:p>
    <w:bookmarkStart w:id="17" w:name="page18"/>
    <w:bookmarkEnd w:id="17"/>
    <w:p>
      <w:pPr>
        <w:ind w:firstLine="1290"/>
        <w:spacing w:after="0" w:line="260"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i w:val="1"/>
          <w:iCs w:val="1"/>
          <w:color w:val="auto"/>
        </w:rPr>
        <w:t>No Undisclosed Liabilities</w:t>
      </w:r>
      <w:r>
        <w:rPr>
          <w:rFonts w:ascii="Times New Roman" w:cs="Times New Roman" w:eastAsia="Times New Roman" w:hAnsi="Times New Roman"/>
          <w:sz w:val="18"/>
          <w:szCs w:val="18"/>
          <w:color w:val="auto"/>
        </w:rPr>
        <w:t>. None of the Issuer or the Issuer Subsidiaries has any material liabilities (whether absolute, accrued, contingent or otherwise) required to be reflected or reserved against on a consolidated balance sheet of the Issuer prepared in accordance with GAAP, except for liabilities (i) included in the Issuer’s Annual Report on Form 10-K for the year ended December 31, 2025, (ii) incurred in the ordinary course of business consistent with past practice since the date of such balance sheet, and (iii) incurred in the ordinary course of performing this Agreement.</w:t>
      </w:r>
    </w:p>
    <w:p>
      <w:pPr>
        <w:spacing w:after="0" w:line="178" w:lineRule="exact"/>
        <w:rPr>
          <w:sz w:val="20"/>
          <w:szCs w:val="20"/>
          <w:color w:val="auto"/>
        </w:rPr>
      </w:pPr>
    </w:p>
    <w:p>
      <w:pPr>
        <w:ind w:right="20" w:firstLine="1290"/>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xml:space="preserve"> Since December 31, 2025, there has not occurred any event, fact or circumstance that has had or would reasonably be expected to have, individually, or in the aggregate, a Material Adverse Effect.</w:t>
      </w:r>
    </w:p>
    <w:p>
      <w:pPr>
        <w:spacing w:after="0" w:line="159" w:lineRule="exact"/>
        <w:rPr>
          <w:sz w:val="20"/>
          <w:szCs w:val="20"/>
          <w:color w:val="auto"/>
        </w:rPr>
      </w:pPr>
    </w:p>
    <w:p>
      <w:pPr>
        <w:ind w:right="80" w:firstLine="1290"/>
        <w:spacing w:after="0" w:line="270" w:lineRule="auto"/>
        <w:rPr>
          <w:sz w:val="20"/>
          <w:szCs w:val="20"/>
          <w:color w:val="auto"/>
        </w:rPr>
      </w:pPr>
      <w:r>
        <w:rPr>
          <w:rFonts w:ascii="Times New Roman" w:cs="Times New Roman" w:eastAsia="Times New Roman" w:hAnsi="Times New Roman"/>
          <w:sz w:val="17"/>
          <w:szCs w:val="17"/>
          <w:color w:val="auto"/>
        </w:rPr>
        <w:t xml:space="preserve">(xi)           </w:t>
      </w:r>
      <w:r>
        <w:rPr>
          <w:rFonts w:ascii="Times New Roman" w:cs="Times New Roman" w:eastAsia="Times New Roman" w:hAnsi="Times New Roman"/>
          <w:sz w:val="17"/>
          <w:szCs w:val="17"/>
          <w:i w:val="1"/>
          <w:iCs w:val="1"/>
          <w:color w:val="auto"/>
        </w:rPr>
        <w:t>No Violation or Default; Licenses and Permits.</w:t>
      </w:r>
      <w:r>
        <w:rPr>
          <w:rFonts w:ascii="Times New Roman" w:cs="Times New Roman" w:eastAsia="Times New Roman" w:hAnsi="Times New Roman"/>
          <w:sz w:val="17"/>
          <w:szCs w:val="17"/>
          <w:color w:val="auto"/>
        </w:rPr>
        <w:t xml:space="preserve"> The Issuer and the Issuer Subsidiaries (A) are in compliance with all Laws, statutes, ordinances, rules, regulations, orders, judgments and decrees of any court or governmental agency or body having jurisdiction over the Issuer or any of the Issuer Subsidiaries or any of their respective properties, and (B) have not received written notice of any alleged material violation of any of the foregoing except, in the case of each of clauses (A) and (B) above, for any such failure to comply, default or violation that would not, individually or in the aggregate, be reasonably expected to have a Material Adverse Effect. Each of the Issuer and the Issuer Subsidiaries holds all material licenses, franchises, permits, certificates of occupancy, consents, registrations, certificates and other governmental and regulatory permits, authorizations and approvals required for the operation of the business as currently conducted by it and for the ownership, lease or operation of its material assets except, in each case, where the failure to possess or make the same would not, individually or in the aggregate, reasonably be expected to have a Material Adverse Effect.</w:t>
      </w:r>
    </w:p>
    <w:p>
      <w:pPr>
        <w:spacing w:after="0" w:line="176" w:lineRule="exact"/>
        <w:rPr>
          <w:sz w:val="20"/>
          <w:szCs w:val="20"/>
          <w:color w:val="auto"/>
        </w:rPr>
      </w:pPr>
    </w:p>
    <w:p>
      <w:pPr>
        <w:jc w:val="both"/>
        <w:ind w:right="180" w:firstLine="1290"/>
        <w:spacing w:after="0" w:line="265" w:lineRule="auto"/>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There are no legal, governmental or regulatory investigations, actions, suits or proceedings pending or, to the Knowledge of the Issuer, threatened against the Issuer or any of the Issuer Subsidiaries which, individually, if determined adversely to the Issuer or any of the Issuer Subsidiaries, would reasonably be expected to have a Material Adverse Effect.</w:t>
      </w:r>
    </w:p>
    <w:p>
      <w:pPr>
        <w:spacing w:after="0" w:line="174" w:lineRule="exact"/>
        <w:rPr>
          <w:sz w:val="20"/>
          <w:szCs w:val="20"/>
          <w:color w:val="auto"/>
        </w:rPr>
      </w:pPr>
    </w:p>
    <w:p>
      <w:pPr>
        <w:ind w:right="100" w:firstLine="1290"/>
        <w:spacing w:after="0" w:line="265"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The Issuer is not, and, after giving effect to the Transaction and the application of the proceeds thereof, shall not be required to register as an “investment company” or an entity “controlled” by an “investment company” within the meaning of the Investment Company Act, and the rules and regulations of the SEC thereunder.</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(xiv)        </w:t>
      </w:r>
      <w:r>
        <w:rPr>
          <w:rFonts w:ascii="Times New Roman" w:cs="Times New Roman" w:eastAsia="Times New Roman" w:hAnsi="Times New Roman"/>
          <w:sz w:val="18"/>
          <w:szCs w:val="18"/>
          <w:i w:val="1"/>
          <w:iCs w:val="1"/>
          <w:color w:val="auto"/>
        </w:rPr>
        <w:t>Compliance with Environmental Laws.</w:t>
      </w:r>
      <w:r>
        <w:rPr>
          <w:rFonts w:ascii="Times New Roman" w:cs="Times New Roman" w:eastAsia="Times New Roman" w:hAnsi="Times New Roman"/>
          <w:sz w:val="18"/>
          <w:szCs w:val="18"/>
          <w:color w:val="auto"/>
        </w:rPr>
        <w:t xml:space="preserve"> Except as would not, individually or in the aggregate, reasonably be expected to have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(A) each of the Issuer and the Issuer Subsidiaries is and has been in compliance with and each of the Issuer Properties is and has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maintained in compliance with, any and all applicable federal, state, local and foreign Laws relating to the protection of the environment or natural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human health and safety as such relates to the environment, or the presence, handling, or release of Hazardous Materials (collectively,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which compliance includes obtaining, maintaining and complying with all permits, licenses or other approvals required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to conduct operations as presently conducted, and no action is pending or, to the Knowledge of the Issuer, threatened that seeks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repeal, modify, amend, revoke, limit, deny renewal of, or otherwise appeal or challenge any such permits, licenses or other approvals, (B) none of the Issuer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Issuer Subsidiaries have received any written notice of, and none of the Issuer Properties have been the subject of any written notice received by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 or any of the Issuer Subsidiaries of, any actual or potential liability or violation for the presence, exposure to, investigation, remediation, arrangement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disposal, or release of any material classified, characterized or regulated as hazardous, toxic, pollutants, or contaminants under Environmental Laws,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petroleum products or byproducts, radioactive materials, asbestos-containing materials, radon, lead-containing materials, polychlorinated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biphenyls, mold, and hazardous building materials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(C) none of the Issuer and the Issuer Subsidiaries are a party to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subject of any pending, or, to the Knowledge of the Issuer, threatened, legal proceeding alleging any liability, responsibility, or violation under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with respect to their past or present facilities or their respective operations, (D) none of the Issuer and the Issuer Subsidiaries have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released Hazardous Materials on any real property in a manner that would reasonably be expected to result in an environmental claim or liability against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or any of the Issuer Subsidiaries or Affiliates, (E) none of the Issuer Properties is the subject of any pending, or, to the Knowledge of the Issuer,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legal proceeding alleging any liability, responsibility, or violation under any Environmental Laws and (F) to the Knowledge of the Issuer, there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been no release of Hazardous Materials on, from, under, or at any of the Issuer Properties that would reasonably be expected to result in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claim or liability against the Issuer or any of the Issuer Subsidiaries or Affiliates.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8" w:name="page19"/>
    <w:bookmarkEnd w:id="18"/>
    <w:p>
      <w:pPr>
        <w:ind w:left="180"/>
        <w:spacing w:after="0"/>
        <w:rPr>
          <w:sz w:val="20"/>
          <w:szCs w:val="20"/>
          <w:color w:val="auto"/>
        </w:rPr>
      </w:pPr>
      <w:r>
        <w:rPr>
          <w:rFonts w:ascii="Times New Roman" w:cs="Times New Roman" w:eastAsia="Times New Roman" w:hAnsi="Times New Roman"/>
          <w:sz w:val="18"/>
          <w:szCs w:val="18"/>
          <w:color w:val="auto"/>
        </w:rPr>
        <w:t>(xv)          </w:t>
      </w:r>
      <w:r>
        <w:rPr>
          <w:rFonts w:ascii="Times New Roman" w:cs="Times New Roman" w:eastAsia="Times New Roman" w:hAnsi="Times New Roman"/>
          <w:sz w:val="18"/>
          <w:szCs w:val="18"/>
          <w:i w:val="1"/>
          <w:iCs w:val="1"/>
          <w:color w:val="auto"/>
        </w:rPr>
        <w:t>Issuer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right="20" w:firstLine="645"/>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as would not, individually or in the aggregate, have a Material Adverse Effect, each Issuer Benefit Plan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compliance in design and operation in all material respects with all applicable provisions of ERISA and the U.S. Internal Revenue Code of 1986, as amended (the “</w:t>
      </w:r>
      <w:r>
        <w:rPr>
          <w:rFonts w:ascii="Times New Roman" w:cs="Times New Roman" w:eastAsia="Times New Roman" w:hAnsi="Times New Roman"/>
          <w:sz w:val="18"/>
          <w:szCs w:val="18"/>
          <w:u w:val="single" w:color="auto"/>
          <w:color w:val="000000"/>
        </w:rPr>
        <w:t>Code</w:t>
      </w:r>
      <w:r>
        <w:rPr>
          <w:rFonts w:ascii="Times New Roman" w:cs="Times New Roman" w:eastAsia="Times New Roman" w:hAnsi="Times New Roman"/>
          <w:sz w:val="18"/>
          <w:szCs w:val="18"/>
          <w:color w:val="000000"/>
        </w:rPr>
        <w:t>”), and each Issuer Benefit Plan that is intended to be qualified under</w:t>
      </w:r>
    </w:p>
    <w:p>
      <w:pPr>
        <w:spacing w:after="0" w:line="1" w:lineRule="exact"/>
        <w:rPr>
          <w:sz w:val="20"/>
          <w:szCs w:val="20"/>
          <w:color w:val="auto"/>
        </w:rPr>
      </w:pPr>
    </w:p>
    <w:p>
      <w:pPr>
        <w:jc w:val="both"/>
        <w:ind w:left="820" w:right="180"/>
        <w:spacing w:after="0" w:line="252" w:lineRule="auto"/>
        <w:rPr>
          <w:sz w:val="20"/>
          <w:szCs w:val="20"/>
          <w:color w:val="auto"/>
        </w:rPr>
      </w:pPr>
      <w:r>
        <w:rPr>
          <w:rFonts w:ascii="Times New Roman" w:cs="Times New Roman" w:eastAsia="Times New Roman" w:hAnsi="Times New Roman"/>
          <w:sz w:val="18"/>
          <w:szCs w:val="18"/>
          <w:color w:val="auto"/>
        </w:rPr>
        <w:t>Section 401(a) of the Code has received a favorable determination letter from the Internal Revenue Service with respect to its qualified status under Section 401(a) of the Code and its related trust’s exempt status under Section 501(a) of the Code and the Issuer is not aware of any circumstances likely to result in the loss of the qualification of any such plan under Section 401(a) of the Code.</w:t>
      </w:r>
    </w:p>
    <w:p>
      <w:pPr>
        <w:spacing w:after="0" w:line="187" w:lineRule="exact"/>
        <w:rPr>
          <w:sz w:val="20"/>
          <w:szCs w:val="20"/>
          <w:color w:val="auto"/>
        </w:rPr>
      </w:pPr>
    </w:p>
    <w:p>
      <w:pPr>
        <w:ind w:left="820" w:firstLine="645"/>
        <w:spacing w:after="0" w:line="253"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Except as would not, individually or in the aggregate, have a Material Adverse Effect, with respect to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Benefit Plan that is subject to Title IV or Section 302 of ERISA or Section 412 or 4971 of the Code: (1) no Issuer Benefit Plan has failed to satisfy the minimum funding standard (within the meaning of Sections 412 and 430 of the Code or Section 302 of ERISA) applicable to such Issuer Benefit Plan, whether or not waived and no application for a waiver of the minimum funding standard with respect to any Issuer Benefit Plan has been submitted; (2) no reportable event within the meaning of</w:t>
      </w:r>
    </w:p>
    <w:p>
      <w:pPr>
        <w:spacing w:after="0" w:line="3" w:lineRule="exact"/>
        <w:rPr>
          <w:sz w:val="20"/>
          <w:szCs w:val="20"/>
          <w:color w:val="auto"/>
        </w:rPr>
      </w:pPr>
    </w:p>
    <w:p>
      <w:pPr>
        <w:ind w:left="820" w:right="40"/>
        <w:spacing w:after="0" w:line="250" w:lineRule="auto"/>
        <w:rPr>
          <w:sz w:val="20"/>
          <w:szCs w:val="20"/>
          <w:color w:val="auto"/>
        </w:rPr>
      </w:pPr>
      <w:r>
        <w:rPr>
          <w:rFonts w:ascii="Times New Roman" w:cs="Times New Roman" w:eastAsia="Times New Roman" w:hAnsi="Times New Roman"/>
          <w:sz w:val="18"/>
          <w:szCs w:val="18"/>
          <w:color w:val="auto"/>
        </w:rPr>
        <w:t>Section 4043(c) of ERISA for which the thirty (30)-day notice requirement has not been waived has occurred; (3) no liability (other than for premiums to the Pension Benefit Guaranty Corporation (the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under Title IV of ERISA has been or is expected to be incurred by the Issuer or any entity that is required to be aggregated with the Issuer pursuant to Section 414 of the Code; (4) the PBGC has not instituted proceedings to terminate any such plan or made any inquiry which would reasonably be expected to lead to termination of any such plan, and no condition exists that presents a risk that such proceedings will be instituted or which would constitute grounds under Section 4042 of ERISA for the termination of, or the appointment of a trustee to administer, any such plan; and (5) no Issuer Benefit Plan is, or is expected to be, in “at-risk” status (as defined in Section 303(i)(4) of ERISA or Section 430(i)(4) of the Code).</w:t>
      </w:r>
    </w:p>
    <w:p>
      <w:pPr>
        <w:spacing w:after="0" w:line="191" w:lineRule="exact"/>
        <w:rPr>
          <w:sz w:val="20"/>
          <w:szCs w:val="20"/>
          <w:color w:val="auto"/>
        </w:rPr>
      </w:pPr>
    </w:p>
    <w:p>
      <w:pPr>
        <w:ind w:left="820" w:right="40" w:firstLine="645"/>
        <w:spacing w:after="0" w:line="251" w:lineRule="auto"/>
        <w:rPr>
          <w:sz w:val="20"/>
          <w:szCs w:val="20"/>
          <w:color w:val="auto"/>
        </w:rPr>
      </w:pPr>
      <w:r>
        <w:rPr>
          <w:rFonts w:ascii="Times New Roman" w:cs="Times New Roman" w:eastAsia="Times New Roman" w:hAnsi="Times New Roman"/>
          <w:sz w:val="18"/>
          <w:szCs w:val="18"/>
          <w:color w:val="010000"/>
        </w:rPr>
        <w:t xml:space="preserve">(C)             </w:t>
      </w:r>
      <w:r>
        <w:rPr>
          <w:rFonts w:ascii="Times New Roman" w:cs="Times New Roman" w:eastAsia="Times New Roman" w:hAnsi="Times New Roman"/>
          <w:sz w:val="18"/>
          <w:szCs w:val="18"/>
          <w:color w:val="000000"/>
        </w:rPr>
        <w:t>Except as would not, individually or in the aggregate, have a Material Adverse Effect, with respect to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Benefit Plan maintained primarily for the benefit of current or former employees, officers or directors employed, or otherwise engaged, outside the United States (each, an “</w:t>
      </w:r>
      <w:r>
        <w:rPr>
          <w:rFonts w:ascii="Times New Roman" w:cs="Times New Roman" w:eastAsia="Times New Roman" w:hAnsi="Times New Roman"/>
          <w:sz w:val="18"/>
          <w:szCs w:val="18"/>
          <w:u w:val="single" w:color="auto"/>
          <w:color w:val="000000"/>
        </w:rPr>
        <w:t>Issuer Foreign Plan</w:t>
      </w:r>
      <w:r>
        <w:rPr>
          <w:rFonts w:ascii="Times New Roman" w:cs="Times New Roman" w:eastAsia="Times New Roman" w:hAnsi="Times New Roman"/>
          <w:sz w:val="18"/>
          <w:szCs w:val="18"/>
          <w:color w:val="000000"/>
        </w:rPr>
        <w:t>”), excluding any Issuer Foreign Plans that are statutorily required, government sponsored or not otherwise sponsored, maintained or controlled by the Issuer or any of the Issuer Subsidiaries: (1) (x) all employer and employee contributions required by Law or by the terms of the Issuer Foreign Plan have been made, and all liabilities of the Issuer and the Issuer Subsidiaries have been satisfied, or, in each case accrued, by the Issuer and the Issuer Subsidiaries in accordance with generally accepted accounting principles, and (y) the Issuer and the Issuer Subsidiaries are in compliance with all requirements of applicable Law and the terms of such Issuer Foreign Plan; (2) as of the date hereof, the fair market value of the assets of each funded Issuer Foreign Plan, or the book reserve established for each Issuer Foreign Plan, together with any accrued contributions, is sufficient to procure or provide for the accrued benefit obligations with respect to all current and former participants in such Issuer Foreign Plan determined on an ongoing basis (rather than on a plan termination basis) according to the actuarial assumptions and valuations used to account for such obligations in accordance with applicable generally accepted accounting principles; and (3) as of the date hereof, the Issuer Foreign Plan has been registered as required and has been maintained in good standing with applicable regulatory authorities.</w:t>
      </w:r>
    </w:p>
    <w:p>
      <w:pPr>
        <w:spacing w:after="0" w:line="200" w:lineRule="exact"/>
        <w:rPr>
          <w:sz w:val="20"/>
          <w:szCs w:val="20"/>
          <w:color w:val="auto"/>
        </w:rPr>
      </w:pPr>
    </w:p>
    <w:p>
      <w:pPr>
        <w:spacing w:after="0" w:line="2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16510</wp:posOffset>
            </wp:positionV>
            <wp:extent cx="7132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20"/>
          </w:cols>
          <w:pgMar w:left="1440" w:top="872" w:right="339" w:bottom="1440" w:gutter="0" w:footer="0" w:header="0"/>
        </w:sectPr>
      </w:pPr>
    </w:p>
    <w:bookmarkStart w:id="19" w:name="page20"/>
    <w:bookmarkEnd w:id="19"/>
    <w:p>
      <w:pPr>
        <w:ind w:right="100" w:firstLine="1290"/>
        <w:spacing w:after="0" w:line="254" w:lineRule="auto"/>
        <w:rPr>
          <w:sz w:val="20"/>
          <w:szCs w:val="20"/>
          <w:color w:val="auto"/>
        </w:rPr>
      </w:pPr>
      <w:r>
        <w:rPr>
          <w:rFonts w:ascii="Times New Roman" w:cs="Times New Roman" w:eastAsia="Times New Roman" w:hAnsi="Times New Roman"/>
          <w:sz w:val="18"/>
          <w:szCs w:val="18"/>
          <w:color w:val="auto"/>
        </w:rPr>
        <w:t>(xvi)        </w:t>
      </w:r>
      <w:r>
        <w:rPr>
          <w:rFonts w:ascii="Times New Roman" w:cs="Times New Roman" w:eastAsia="Times New Roman" w:hAnsi="Times New Roman"/>
          <w:sz w:val="18"/>
          <w:szCs w:val="18"/>
          <w:i w:val="1"/>
          <w:iCs w:val="1"/>
          <w:color w:val="auto"/>
        </w:rPr>
        <w:t>Labor and Employment Matters.</w:t>
      </w:r>
      <w:r>
        <w:rPr>
          <w:rFonts w:ascii="Times New Roman" w:cs="Times New Roman" w:eastAsia="Times New Roman" w:hAnsi="Times New Roman"/>
          <w:sz w:val="18"/>
          <w:szCs w:val="18"/>
          <w:color w:val="auto"/>
        </w:rPr>
        <w:t xml:space="preserve"> (A) Neither the Issuer nor any of the Issuer Subsidiaries is a party to or bound by any collective bargaining agreement or any labor union contract, nor are any employees of the Issuer or any of the Issuer Subsidiaries represented by a works council or a labor organization (other than any industry-wide or statutorily mandated agreement in non-U.S. jurisdictions); (B) to the Knowledge of the Issuer, as of the date hereof, there are no activities or proceedings by any labor union or labor organization to organize any employees of the Issuer or any of the Issuer Subsidiaries or to compel the Issuer or any of the Issuer Subsidiaries to bargain with any labor union or labor organization; and (C) except as would not, individually or in the aggregate, have a Material Adverse Effect, there is no pending or, to the Knowledge of the Issuer, threatened material labor strike, lock-out, walkout, work stoppage, slowdown, demonstration, leafleting, picketing, boycott, work-to-rule campaign, sit-in, sick-out, or similar form of organized labor disruption.</w:t>
      </w:r>
    </w:p>
    <w:p>
      <w:pPr>
        <w:spacing w:after="0" w:line="182" w:lineRule="exact"/>
        <w:rPr>
          <w:sz w:val="20"/>
          <w:szCs w:val="20"/>
          <w:color w:val="auto"/>
        </w:rPr>
      </w:pPr>
    </w:p>
    <w:p>
      <w:pPr>
        <w:ind w:right="20" w:firstLine="1290"/>
        <w:spacing w:after="0" w:line="282" w:lineRule="auto"/>
        <w:rPr>
          <w:sz w:val="20"/>
          <w:szCs w:val="20"/>
          <w:color w:val="auto"/>
        </w:rPr>
      </w:pPr>
      <w:r>
        <w:rPr>
          <w:rFonts w:ascii="Times New Roman" w:cs="Times New Roman" w:eastAsia="Times New Roman" w:hAnsi="Times New Roman"/>
          <w:sz w:val="18"/>
          <w:szCs w:val="18"/>
          <w:color w:val="auto"/>
        </w:rPr>
        <w:t xml:space="preserve">(xvii)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The Issuer maintains for itself and the Issuer Subsidiaries insurance policies in those amounts and covering those risks, as in its judgment, are reasonable for the business and assets of the Issuer and the Issuer Subsidiaries.</w:t>
      </w:r>
    </w:p>
    <w:p>
      <w:pPr>
        <w:spacing w:after="0" w:line="159" w:lineRule="exact"/>
        <w:rPr>
          <w:sz w:val="20"/>
          <w:szCs w:val="20"/>
          <w:color w:val="auto"/>
        </w:rPr>
      </w:pPr>
    </w:p>
    <w:p>
      <w:pPr>
        <w:ind w:firstLine="1290"/>
        <w:spacing w:after="0" w:line="255" w:lineRule="auto"/>
        <w:rPr>
          <w:sz w:val="20"/>
          <w:szCs w:val="20"/>
          <w:color w:val="auto"/>
        </w:rPr>
      </w:pPr>
      <w:r>
        <w:rPr>
          <w:rFonts w:ascii="Times New Roman" w:cs="Times New Roman" w:eastAsia="Times New Roman" w:hAnsi="Times New Roman"/>
          <w:sz w:val="18"/>
          <w:szCs w:val="18"/>
          <w:color w:val="auto"/>
        </w:rPr>
        <w:t xml:space="preserve">(xviii)       </w:t>
      </w: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xml:space="preserve"> No action is pending or, to the Knowledge of the Issuer, is threatened against the Issuer or any of the Issuer Subsidiaries, or any of their respective directors, officers, or employees resulting from any (A) use of corporate funds for any unlawful contribution, gift, entertainment or other unlawful expense relating to political activity, (B) direct or indirect unlawful payment to any foreign or domestic government official or employee from corporate funds, (C) violations of any provision of the Foreign Corrupt Practices Act of 1977 or any other applicable local anti-bribery or anti-corruption Laws in any relevant jurisdictions or (D) other unlawful payment, except in any such case, as would not reasonably be expected to have, individually or in the aggregate, a Material Adverse Effect.</w:t>
      </w:r>
    </w:p>
    <w:p>
      <w:pPr>
        <w:spacing w:after="0" w:line="185" w:lineRule="exact"/>
        <w:rPr>
          <w:sz w:val="20"/>
          <w:szCs w:val="20"/>
          <w:color w:val="auto"/>
        </w:rPr>
      </w:pPr>
    </w:p>
    <w:p>
      <w:pPr>
        <w:ind w:firstLine="1290"/>
        <w:spacing w:after="0" w:line="257" w:lineRule="auto"/>
        <w:rPr>
          <w:sz w:val="20"/>
          <w:szCs w:val="20"/>
          <w:color w:val="auto"/>
        </w:rPr>
      </w:pPr>
      <w:r>
        <w:rPr>
          <w:rFonts w:ascii="Times New Roman" w:cs="Times New Roman" w:eastAsia="Times New Roman" w:hAnsi="Times New Roman"/>
          <w:sz w:val="18"/>
          <w:szCs w:val="18"/>
          <w:color w:val="auto"/>
        </w:rPr>
        <w:t xml:space="preserve">(xix)         </w:t>
      </w:r>
      <w:r>
        <w:rPr>
          <w:rFonts w:ascii="Times New Roman" w:cs="Times New Roman" w:eastAsia="Times New Roman" w:hAnsi="Times New Roman"/>
          <w:sz w:val="18"/>
          <w:szCs w:val="18"/>
          <w:i w:val="1"/>
          <w:iCs w:val="1"/>
          <w:color w:val="auto"/>
        </w:rPr>
        <w:t>No Broker’s Fees.</w:t>
      </w:r>
      <w:r>
        <w:rPr>
          <w:rFonts w:ascii="Times New Roman" w:cs="Times New Roman" w:eastAsia="Times New Roman" w:hAnsi="Times New Roman"/>
          <w:sz w:val="18"/>
          <w:szCs w:val="18"/>
          <w:color w:val="auto"/>
        </w:rPr>
        <w:t xml:space="preserve"> None of the Issuer or any of the Issuer Subsidiaries is a party to any contract, agreement or understanding with any Person that would give rise to a valid claim against the Issuer or any of the Issuer Subsidiaries for an investment banking fee, finder’s fee or like payment in respect of the sale of the Purchased Shares contemplated by this Agreement. None of the Issuer or any of the Issuer Subsidiaries is a party to any contract, agreement or understanding with any Person that would give rise to a valid claim against the Subscriber for a brokerage commission, finder’s fee, investment banking fee or like payment in connection with the Transaction.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20" w:name="page21"/>
    <w:bookmarkEnd w:id="20"/>
    <w:p>
      <w:pPr>
        <w:ind w:left="180"/>
        <w:spacing w:after="0"/>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i w:val="1"/>
          <w:iCs w:val="1"/>
          <w:color w:val="auto"/>
        </w:rPr>
        <w:t>Real and Personal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firstLine="645"/>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(x) for such breach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4(a)(xx)(A)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may be caused fully or substantially by the third-party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member or partner in any Joint Venture, without the Knowledge or consent of the Issuer or any of the Issuer Subsidiaries or (y) as would not individually or in the aggregate be reasonably expected to have a Material Adverse Effect, the Issuer or one of the Issuer Subsidiaries owns good and valid fee simple title or valid and enforceable leasehold interests (subject, as to enforceability, to general principles of equity, including principles of commercial reasonableness, good faith and fair dealing (regardless of whether enforcement is sought in a proceeding at Law or in equity)), as applicable, to each of the Issuer Properties, in each case, free and clear of Liens, mortgages or deeds of trust, claims against title, charges that are Liens or other encumbrances on title, rights of way, restrictive covenants, declarations or reservations of an interest in title (collectively, “</w:t>
      </w:r>
      <w:r>
        <w:rPr>
          <w:rFonts w:ascii="Times New Roman" w:cs="Times New Roman" w:eastAsia="Times New Roman" w:hAnsi="Times New Roman"/>
          <w:sz w:val="18"/>
          <w:szCs w:val="18"/>
          <w:u w:val="single" w:color="auto"/>
          <w:color w:val="000000"/>
        </w:rPr>
        <w:t>Encumbrances</w:t>
      </w:r>
      <w:r>
        <w:rPr>
          <w:rFonts w:ascii="Times New Roman" w:cs="Times New Roman" w:eastAsia="Times New Roman" w:hAnsi="Times New Roman"/>
          <w:sz w:val="18"/>
          <w:szCs w:val="18"/>
          <w:color w:val="000000"/>
        </w:rPr>
        <w:t>”), except for the following (collectively, the “</w:t>
      </w:r>
      <w:r>
        <w:rPr>
          <w:rFonts w:ascii="Times New Roman" w:cs="Times New Roman" w:eastAsia="Times New Roman" w:hAnsi="Times New Roman"/>
          <w:sz w:val="18"/>
          <w:szCs w:val="18"/>
          <w:u w:val="single" w:color="auto"/>
          <w:color w:val="000000"/>
        </w:rPr>
        <w:t>Permitted Title Exceptions</w:t>
      </w:r>
      <w:r>
        <w:rPr>
          <w:rFonts w:ascii="Times New Roman" w:cs="Times New Roman" w:eastAsia="Times New Roman" w:hAnsi="Times New Roman"/>
          <w:sz w:val="18"/>
          <w:szCs w:val="18"/>
          <w:color w:val="000000"/>
        </w:rPr>
        <w:t>”):</w:t>
      </w:r>
    </w:p>
    <w:p>
      <w:pPr>
        <w:spacing w:after="0" w:line="186" w:lineRule="exact"/>
        <w:rPr>
          <w:sz w:val="20"/>
          <w:szCs w:val="20"/>
          <w:color w:val="auto"/>
        </w:rPr>
      </w:pPr>
    </w:p>
    <w:p>
      <w:pPr>
        <w:ind w:left="1460" w:right="20" w:firstLine="645"/>
        <w:spacing w:after="0" w:line="264" w:lineRule="auto"/>
        <w:rPr>
          <w:sz w:val="20"/>
          <w:szCs w:val="20"/>
          <w:color w:val="auto"/>
        </w:rPr>
      </w:pPr>
      <w:r>
        <w:rPr>
          <w:rFonts w:ascii="Times New Roman" w:cs="Times New Roman" w:eastAsia="Times New Roman" w:hAnsi="Times New Roman"/>
          <w:sz w:val="18"/>
          <w:szCs w:val="18"/>
          <w:color w:val="010000"/>
        </w:rPr>
        <w:t xml:space="preserve">(1)             </w:t>
      </w:r>
      <w:r>
        <w:rPr>
          <w:rFonts w:ascii="Times New Roman" w:cs="Times New Roman" w:eastAsia="Times New Roman" w:hAnsi="Times New Roman"/>
          <w:sz w:val="18"/>
          <w:szCs w:val="18"/>
          <w:color w:val="000000"/>
        </w:rPr>
        <w:t>Encumbrances that result from any statutory or other Liens for Taxes or assessments that are not yet due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delinquent or the validity of which is being contested in good faith by appropriate proceedings and for which a sufficient and appropriate reserve has been set aside for the full payment thereof;</w:t>
      </w:r>
    </w:p>
    <w:p>
      <w:pPr>
        <w:spacing w:after="0" w:line="177" w:lineRule="exact"/>
        <w:rPr>
          <w:sz w:val="20"/>
          <w:szCs w:val="20"/>
          <w:color w:val="auto"/>
        </w:rPr>
      </w:pPr>
    </w:p>
    <w:p>
      <w:pPr>
        <w:ind w:left="1460" w:right="2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(2)             </w:t>
      </w:r>
      <w:r>
        <w:rPr>
          <w:rFonts w:ascii="Times New Roman" w:cs="Times New Roman" w:eastAsia="Times New Roman" w:hAnsi="Times New Roman"/>
          <w:sz w:val="18"/>
          <w:szCs w:val="18"/>
          <w:color w:val="000000"/>
        </w:rPr>
        <w:t>any contracts, or other occupancy agreements to third parties for the occupation or use of portions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Properties by such third parties in the ordinary course of the business of the Issuer or the Issuer Subsidiaries;</w:t>
      </w:r>
    </w:p>
    <w:p>
      <w:pPr>
        <w:spacing w:after="0" w:line="162" w:lineRule="exact"/>
        <w:rPr>
          <w:sz w:val="20"/>
          <w:szCs w:val="20"/>
          <w:color w:val="auto"/>
        </w:rPr>
      </w:pPr>
    </w:p>
    <w:p>
      <w:pPr>
        <w:ind w:left="1460" w:right="66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(3)             </w:t>
      </w:r>
      <w:r>
        <w:rPr>
          <w:rFonts w:ascii="Times New Roman" w:cs="Times New Roman" w:eastAsia="Times New Roman" w:hAnsi="Times New Roman"/>
          <w:sz w:val="18"/>
          <w:szCs w:val="18"/>
          <w:color w:val="000000"/>
        </w:rPr>
        <w:t>Encumbrances imposed or promulgated by Law or any Governmental Entity, including zoning,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entitlement and other land use and environmental regulations;</w:t>
      </w:r>
    </w:p>
    <w:p>
      <w:pPr>
        <w:spacing w:after="0" w:line="162" w:lineRule="exact"/>
        <w:rPr>
          <w:sz w:val="20"/>
          <w:szCs w:val="20"/>
          <w:color w:val="auto"/>
        </w:rPr>
      </w:pPr>
    </w:p>
    <w:p>
      <w:pPr>
        <w:ind w:left="1460" w:right="24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(4)             </w:t>
      </w:r>
      <w:r>
        <w:rPr>
          <w:rFonts w:ascii="Times New Roman" w:cs="Times New Roman" w:eastAsia="Times New Roman" w:hAnsi="Times New Roman"/>
          <w:sz w:val="18"/>
          <w:szCs w:val="18"/>
          <w:color w:val="000000"/>
        </w:rPr>
        <w:t>Encumbrances disclosed on existing title policies and current title insurance commitments or surveys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made available to the Subscriber;</w:t>
      </w:r>
    </w:p>
    <w:p>
      <w:pPr>
        <w:spacing w:after="0" w:line="162" w:lineRule="exact"/>
        <w:rPr>
          <w:sz w:val="20"/>
          <w:szCs w:val="20"/>
          <w:color w:val="auto"/>
        </w:rPr>
      </w:pPr>
    </w:p>
    <w:p>
      <w:pPr>
        <w:ind w:left="1460" w:right="8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(5)             </w:t>
      </w:r>
      <w:r>
        <w:rPr>
          <w:rFonts w:ascii="Times New Roman" w:cs="Times New Roman" w:eastAsia="Times New Roman" w:hAnsi="Times New Roman"/>
          <w:sz w:val="18"/>
          <w:szCs w:val="18"/>
          <w:color w:val="000000"/>
        </w:rPr>
        <w:t>Encumbrances on the landlord’s fee interest at any Issuer Property where the Issuer or the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Subsidiary is the tenant under any ground lease;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neither the Issuer nor any of the Issuer Subsidiaries have received a notice indicating the intention of the landlord under such ground lease, or of any other Person, to (I) exercise a right to terminate such ground lease, evict the lessee or otherwise collect the sub-rents thereunder, or (II) take any other action that would be reasonably likely to result in a termination of such ground lease;</w:t>
      </w:r>
    </w:p>
    <w:p>
      <w:pPr>
        <w:spacing w:after="0" w:line="186" w:lineRule="exact"/>
        <w:rPr>
          <w:sz w:val="20"/>
          <w:szCs w:val="20"/>
          <w:color w:val="auto"/>
        </w:rPr>
      </w:pPr>
    </w:p>
    <w:p>
      <w:pPr>
        <w:ind w:left="1460" w:right="20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(6)             </w:t>
      </w:r>
      <w:r>
        <w:rPr>
          <w:rFonts w:ascii="Times New Roman" w:cs="Times New Roman" w:eastAsia="Times New Roman" w:hAnsi="Times New Roman"/>
          <w:sz w:val="18"/>
          <w:szCs w:val="18"/>
          <w:color w:val="000000"/>
        </w:rPr>
        <w:t>any cashiers’, landlords’, workers’, mechanics’, carriers’, workmen’s, repairmen’s and materialmen’s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Liens and other similar Liens incurred in the ordinary course of business which (A) are being challenged in good faith by appropriate proceedings and for which a sufficient and appropriate reserve has been set aside for the full payment thereof or (B) have been otherwise fully bonded and discharged of record or for which a sufficient and appropriate reserve has been set aside for the full payment thereof; and</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16510</wp:posOffset>
            </wp:positionV>
            <wp:extent cx="7132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20"/>
          </w:cols>
          <w:pgMar w:left="1440" w:top="872" w:right="339" w:bottom="1440" w:gutter="0" w:footer="0" w:header="0"/>
        </w:sectPr>
      </w:pPr>
    </w:p>
    <w:bookmarkStart w:id="21" w:name="page22"/>
    <w:bookmarkEnd w:id="21"/>
    <w:p>
      <w:pPr>
        <w:ind w:left="1460" w:right="120" w:firstLine="645"/>
        <w:spacing w:after="0" w:line="275" w:lineRule="auto"/>
        <w:rPr>
          <w:sz w:val="20"/>
          <w:szCs w:val="20"/>
          <w:color w:val="auto"/>
        </w:rPr>
      </w:pPr>
      <w:r>
        <w:rPr>
          <w:rFonts w:ascii="Times New Roman" w:cs="Times New Roman" w:eastAsia="Times New Roman" w:hAnsi="Times New Roman"/>
          <w:sz w:val="17"/>
          <w:szCs w:val="17"/>
          <w:color w:val="010000"/>
        </w:rPr>
        <w:t xml:space="preserve">(7)             </w:t>
      </w:r>
      <w:r>
        <w:rPr>
          <w:rFonts w:ascii="Times New Roman" w:cs="Times New Roman" w:eastAsia="Times New Roman" w:hAnsi="Times New Roman"/>
          <w:sz w:val="17"/>
          <w:szCs w:val="17"/>
          <w:color w:val="000000"/>
        </w:rPr>
        <w:t>any other easements, rights-of-way, restrictions (including zoning restrictions), covenants,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encroachments, protrusions and other similar charges or Encumbrances, and title limitations or title defects, if any, that</w:t>
      </w:r>
    </w:p>
    <w:p>
      <w:pPr>
        <w:spacing w:after="0" w:line="1" w:lineRule="exact"/>
        <w:rPr>
          <w:sz w:val="20"/>
          <w:szCs w:val="20"/>
          <w:color w:val="auto"/>
        </w:rPr>
      </w:pPr>
    </w:p>
    <w:p>
      <w:pPr>
        <w:ind w:left="1460" w:right="260" w:firstLine="7"/>
        <w:spacing w:after="0" w:line="258" w:lineRule="auto"/>
        <w:tabs>
          <w:tab w:leader="none" w:pos="16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customary for office, industrial, master planned communities and retail properties or (II) individually or in the aggregate, would not be reasonably expected to have a Material Adverse Effect.</w:t>
      </w:r>
    </w:p>
    <w:p>
      <w:pPr>
        <w:spacing w:after="0" w:line="181" w:lineRule="exact"/>
        <w:rPr>
          <w:sz w:val="20"/>
          <w:szCs w:val="20"/>
          <w:color w:val="auto"/>
        </w:rPr>
      </w:pPr>
    </w:p>
    <w:p>
      <w:pPr>
        <w:ind w:left="820"/>
        <w:spacing w:after="0" w:line="269" w:lineRule="auto"/>
        <w:rPr>
          <w:sz w:val="20"/>
          <w:szCs w:val="20"/>
          <w:color w:val="auto"/>
        </w:rPr>
      </w:pPr>
      <w:r>
        <w:rPr>
          <w:rFonts w:ascii="Times New Roman" w:cs="Times New Roman" w:eastAsia="Times New Roman" w:hAnsi="Times New Roman"/>
          <w:sz w:val="17"/>
          <w:szCs w:val="17"/>
          <w:color w:val="auto"/>
        </w:rPr>
        <w:t xml:space="preserve">Neither the Issuer nor any of the Issuer Subsidiaries has received a written notice of a material default, beyond any applicable grace and cure periods, of or under any Permitted Title Exceptions, except (x) as may have been caused fully or substantially by the third-party member or partner in any Joint Venture, without the Knowledge or consent of the Issuer or any of the Issuer Subsidiaries, (y) where the Permitted Title Exceptions are in and of themselves evidence of default (such as mechanics’ Liens and recorded notices of default) or (z) as would not, individually or in the aggregate, be reasonably expected to have a Material Adverse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where the Issuer has otherwise represented and warranted to the Subscriber (including as set forth on the Issuer Disclosure Letter pursuant to such representations and warranties) with respect to the Issuer’s Knowledge of, the Issuer’s receipt of notice of or the existence of a default in connection with a particular category of Permitted Title Exceptions, such categories of Permitted Title Exceptions shall not be included in the representation set forth in this sentence.</w:t>
      </w:r>
    </w:p>
    <w:p>
      <w:pPr>
        <w:spacing w:after="0" w:line="178" w:lineRule="exact"/>
        <w:rPr>
          <w:sz w:val="20"/>
          <w:szCs w:val="20"/>
          <w:color w:val="auto"/>
        </w:rPr>
      </w:pPr>
    </w:p>
    <w:p>
      <w:pPr>
        <w:ind w:left="820" w:right="20" w:firstLine="645"/>
        <w:spacing w:after="0" w:line="254"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With respect to each Issuer Ground Lease Property, to the Issuer’s Knowledge, neither the Issuer nor any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Subsidiaries has received notice of material defaults (including, without limitation, payment defaults, but limited to those circumstances where such default may grant the landlord under such ground lease the right to terminate such ground lease, evict the lessee or otherwise collect the sub-rents thereunder) at such Issuer Ground Lease Property beyond any applicable grace and cure periods, except (x) as would not, individually or in the aggregate, be reasonably expected to have a Material Adverse Effect and (y) as may be caused fully or substantially by the third-party member or partner in any Joint Venture, without the Knowledge or consent of the Issuer or any of the Issuer Subsidiaries.</w:t>
      </w:r>
    </w:p>
    <w:p>
      <w:pPr>
        <w:spacing w:after="0" w:line="186" w:lineRule="exact"/>
        <w:rPr>
          <w:sz w:val="20"/>
          <w:szCs w:val="20"/>
          <w:color w:val="auto"/>
        </w:rPr>
      </w:pPr>
    </w:p>
    <w:p>
      <w:pPr>
        <w:ind w:left="820" w:right="4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(C)             </w:t>
      </w:r>
      <w:r>
        <w:rPr>
          <w:rFonts w:ascii="Times New Roman" w:cs="Times New Roman" w:eastAsia="Times New Roman" w:hAnsi="Times New Roman"/>
          <w:sz w:val="18"/>
          <w:szCs w:val="18"/>
          <w:color w:val="000000"/>
        </w:rPr>
        <w:t>Neither the Issuer nor any of the Issuer Subsidiaries is a party to any agreement relating to the property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management (but not including any leasing, development, construction or brokerage agreements) of any of the Issuer Properties by a party other than Issuer or any wholly owned Issuer Subsidiaries, except (x) management agreements that may be terminated without cause or payment of a termination fee upon no more than sixty (60) days’ notice or (y) as would not, individually or in the aggregate,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16510</wp:posOffset>
            </wp:positionV>
            <wp:extent cx="7132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00"/>
          </w:cols>
          <w:pgMar w:left="1440" w:top="874" w:right="359" w:bottom="1440" w:gutter="0" w:footer="0" w:header="0"/>
        </w:sectPr>
      </w:pPr>
    </w:p>
    <w:bookmarkStart w:id="22" w:name="page23"/>
    <w:bookmarkEnd w:id="22"/>
    <w:p>
      <w:pPr>
        <w:ind w:left="820" w:right="26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(D)             </w:t>
      </w:r>
      <w:r>
        <w:rPr>
          <w:rFonts w:ascii="Times New Roman" w:cs="Times New Roman" w:eastAsia="Times New Roman" w:hAnsi="Times New Roman"/>
          <w:sz w:val="18"/>
          <w:szCs w:val="18"/>
          <w:color w:val="000000"/>
        </w:rPr>
        <w:t>Neither the Issuer nor any of the Issuer Subsidiaries have received a written notice of default (beyond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grace or cure periods) in the (x) payment of interest, principal or other material amount due to the lender under any Issuer Mortgage Loan, whether as the primary obligor or as a guarantor thereof or (y) performance of any other material obligations under any Issuer Mortgage Loan, except, with respect solely to (y) above, which would not individually or in the aggregate, be reasonably expected to have a Material Adverse Effect;</w:t>
      </w:r>
    </w:p>
    <w:p>
      <w:pPr>
        <w:spacing w:after="0" w:line="186" w:lineRule="exact"/>
        <w:rPr>
          <w:sz w:val="20"/>
          <w:szCs w:val="20"/>
          <w:color w:val="auto"/>
        </w:rPr>
      </w:pPr>
    </w:p>
    <w:p>
      <w:pPr>
        <w:ind w:left="820" w:right="2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(E)             </w:t>
      </w:r>
      <w:r>
        <w:rPr>
          <w:rFonts w:ascii="Times New Roman" w:cs="Times New Roman" w:eastAsia="Times New Roman" w:hAnsi="Times New Roman"/>
          <w:sz w:val="18"/>
          <w:szCs w:val="18"/>
          <w:color w:val="000000"/>
        </w:rPr>
        <w:t>To the Knowledge of the Issuer, (1) neither the Issuer nor any of the Issuer Subsidiaries has received a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notice exercising an option, “buy-sell” right or other similar right to purchase an Issuer Property or any material portion thereof which has not previously closed, except as would not, individually or in the aggregate, reasonably be expected to have a Material Adverse Effect with respect to such Issuer Property and (2) no Issuer Property is subject to a purchase and sale agreement or any similar legally binding agreement to purchase such Issuer Property or any material portion thereof; and</w:t>
      </w:r>
    </w:p>
    <w:p>
      <w:pPr>
        <w:spacing w:after="0" w:line="1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010000"/>
        </w:rPr>
        <w:t xml:space="preserve">(F)             </w:t>
      </w:r>
      <w:r>
        <w:rPr>
          <w:rFonts w:ascii="Times New Roman" w:cs="Times New Roman" w:eastAsia="Times New Roman" w:hAnsi="Times New Roman"/>
          <w:sz w:val="17"/>
          <w:szCs w:val="17"/>
          <w:color w:val="000000"/>
        </w:rPr>
        <w:t>The Issuer has conducted due inquiry with respect to the representations and warranties made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4(a)(xx)</w:t>
      </w:r>
    </w:p>
    <w:p>
      <w:pPr>
        <w:spacing w:after="0" w:line="38" w:lineRule="exact"/>
        <w:rPr>
          <w:sz w:val="20"/>
          <w:szCs w:val="20"/>
          <w:color w:val="auto"/>
        </w:rPr>
      </w:pPr>
    </w:p>
    <w:p>
      <w:pPr>
        <w:ind w:left="180" w:right="7240" w:firstLine="642"/>
        <w:spacing w:after="0" w:line="487" w:lineRule="auto"/>
        <w:tabs>
          <w:tab w:leader="none" w:pos="1108"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4(a)(xx)(E)</w:t>
      </w:r>
      <w:r>
        <w:rPr>
          <w:rFonts w:ascii="Times New Roman" w:cs="Times New Roman" w:eastAsia="Times New Roman" w:hAnsi="Times New Roman"/>
          <w:sz w:val="18"/>
          <w:szCs w:val="18"/>
          <w:color w:val="auto"/>
        </w:rPr>
        <w:t xml:space="preserve">. (xxi)         </w:t>
      </w: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in cases where the failure of any of the following to be true would not result in a Material Adverse Effect:</w:t>
      </w:r>
    </w:p>
    <w:p>
      <w:pPr>
        <w:spacing w:after="0" w:line="27" w:lineRule="exact"/>
        <w:rPr>
          <w:sz w:val="20"/>
          <w:szCs w:val="20"/>
          <w:color w:val="auto"/>
        </w:rPr>
      </w:pPr>
    </w:p>
    <w:p>
      <w:pPr>
        <w:ind w:left="820" w:firstLine="2"/>
        <w:spacing w:after="0" w:line="250" w:lineRule="auto"/>
        <w:tabs>
          <w:tab w:leader="none" w:pos="10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the Issuer Subsidiaries have filed all Tax Returns required to be filed by applicable Law prior to the date hereof (or have obtained extensions therefor); (2) to the Knowledge of the Issuer, all such Tax Returns were true, complete and correct in all respects and filed on a timely basis (taking into account any applicable extensions); (3) the Issuer and each of the Issuer Subsidiaries have paid all amounts of Taxes that are due, claimed or assessed by any taxing authority to be due for the periods covered by such Tax Returns, other than any Taxes for which adequate reserves (“</w:t>
      </w:r>
      <w:r>
        <w:rPr>
          <w:rFonts w:ascii="Times New Roman" w:cs="Times New Roman" w:eastAsia="Times New Roman" w:hAnsi="Times New Roman"/>
          <w:sz w:val="18"/>
          <w:szCs w:val="18"/>
          <w:u w:val="single" w:color="auto"/>
          <w:color w:val="auto"/>
        </w:rPr>
        <w:t>Adequate Reserves</w:t>
      </w:r>
      <w:r>
        <w:rPr>
          <w:rFonts w:ascii="Times New Roman" w:cs="Times New Roman" w:eastAsia="Times New Roman" w:hAnsi="Times New Roman"/>
          <w:sz w:val="18"/>
          <w:szCs w:val="18"/>
          <w:color w:val="auto"/>
        </w:rPr>
        <w:t>”) have been established in accordance with GAAP; and (4) all adjustments of federal U.S. Tax liability of the Issuer and the Issuer Subsidiaries resulting from completed audits or examinations have been reported to appropriate state and local taxing authorities and all resulting Taxes payable to state and local taxing authorities have been paid.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local, or foreign income, gross receipts, license, payroll, employment, excise, severance, stamp, occupation, premium, windfall profits, environmental (including taxes under Section 59A of the Code),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88" w:lineRule="exact"/>
        <w:rPr>
          <w:sz w:val="20"/>
          <w:szCs w:val="20"/>
          <w:color w:val="auto"/>
        </w:rPr>
      </w:pPr>
    </w:p>
    <w:p>
      <w:pPr>
        <w:ind w:left="820" w:right="200" w:firstLine="645"/>
        <w:spacing w:after="0" w:line="287" w:lineRule="auto"/>
        <w:rPr>
          <w:sz w:val="20"/>
          <w:szCs w:val="20"/>
          <w:color w:val="auto"/>
        </w:rPr>
      </w:pPr>
      <w:r>
        <w:rPr>
          <w:rFonts w:ascii="Times New Roman" w:cs="Times New Roman" w:eastAsia="Times New Roman" w:hAnsi="Times New Roman"/>
          <w:sz w:val="17"/>
          <w:szCs w:val="17"/>
          <w:color w:val="010000"/>
        </w:rPr>
        <w:t xml:space="preserve">(B)             </w:t>
      </w:r>
      <w:r>
        <w:rPr>
          <w:rFonts w:ascii="Times New Roman" w:cs="Times New Roman" w:eastAsia="Times New Roman" w:hAnsi="Times New Roman"/>
          <w:sz w:val="17"/>
          <w:szCs w:val="17"/>
          <w:color w:val="000000"/>
        </w:rPr>
        <w:t>Each Issuer Subsidiary that is a partnership, joint venture, or limited liability company has been since its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formation treated for U.S. federal income tax purposes as a partnership or disregarded entity, as the case may be, and not as a corporation or an association taxable as a corporation, except where failure to do so would not have a Material Adverse Effect;</w:t>
      </w:r>
    </w:p>
    <w:p>
      <w:pPr>
        <w:spacing w:after="0" w:line="37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16510</wp:posOffset>
            </wp:positionV>
            <wp:extent cx="7132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00"/>
          </w:cols>
          <w:pgMar w:left="1440" w:top="874" w:right="359" w:bottom="1440" w:gutter="0" w:footer="0" w:header="0"/>
        </w:sectPr>
      </w:pPr>
    </w:p>
    <w:bookmarkStart w:id="23" w:name="page24"/>
    <w:bookmarkEnd w:id="23"/>
    <w:p>
      <w:pPr>
        <w:ind w:left="1940" w:right="20" w:firstLine="645"/>
        <w:spacing w:after="0" w:line="255" w:lineRule="auto"/>
        <w:rPr>
          <w:sz w:val="20"/>
          <w:szCs w:val="20"/>
          <w:color w:val="auto"/>
        </w:rPr>
      </w:pPr>
      <w:r>
        <w:rPr>
          <w:rFonts w:ascii="Times New Roman" w:cs="Times New Roman" w:eastAsia="Times New Roman" w:hAnsi="Times New Roman"/>
          <w:sz w:val="18"/>
          <w:szCs w:val="18"/>
          <w:color w:val="010000"/>
        </w:rPr>
        <w:t xml:space="preserve">(C)             </w:t>
      </w:r>
      <w:r>
        <w:rPr>
          <w:rFonts w:ascii="Times New Roman" w:cs="Times New Roman" w:eastAsia="Times New Roman" w:hAnsi="Times New Roman"/>
          <w:sz w:val="18"/>
          <w:szCs w:val="18"/>
          <w:color w:val="000000"/>
        </w:rPr>
        <w:t>Except where the failure to be true would not have a Material Adverse Effect, the Issuer and each of the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have (1) complied in all respects with all applicable Laws, rules, and regulations relating to the payment and withholding of Taxes (including withholding and reporting requirements under sections 1441 through 1464, 3401 through 3406, 6041 and 6049 of the Code and similar provisions under any other Laws) and (2) within the time and in the manner prescribed by Law, withheld from employee wages and paid to the proper Governmental Entities all amounts required to be withheld and paid over.</w:t>
      </w:r>
    </w:p>
    <w:p>
      <w:pPr>
        <w:spacing w:after="0" w:line="185" w:lineRule="exact"/>
        <w:rPr>
          <w:sz w:val="20"/>
          <w:szCs w:val="20"/>
          <w:color w:val="auto"/>
        </w:rPr>
      </w:pPr>
    </w:p>
    <w:p>
      <w:pPr>
        <w:jc w:val="both"/>
        <w:ind w:left="1940" w:right="100" w:firstLine="645"/>
        <w:spacing w:after="0" w:line="259" w:lineRule="auto"/>
        <w:rPr>
          <w:sz w:val="20"/>
          <w:szCs w:val="20"/>
          <w:color w:val="auto"/>
        </w:rPr>
      </w:pPr>
      <w:r>
        <w:rPr>
          <w:rFonts w:ascii="Times New Roman" w:cs="Times New Roman" w:eastAsia="Times New Roman" w:hAnsi="Times New Roman"/>
          <w:sz w:val="18"/>
          <w:szCs w:val="18"/>
          <w:color w:val="010000"/>
        </w:rPr>
        <w:t xml:space="preserve">(D)             </w:t>
      </w:r>
      <w:r>
        <w:rPr>
          <w:rFonts w:ascii="Times New Roman" w:cs="Times New Roman" w:eastAsia="Times New Roman" w:hAnsi="Times New Roman"/>
          <w:sz w:val="18"/>
          <w:szCs w:val="18"/>
          <w:color w:val="000000"/>
        </w:rPr>
        <w:t>Except where the failure to be true would not have a Material Adverse Effect, no audits or other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proceedings or court proceedings are presently pending or to the Knowledge of the Issuer threatened with regard to any Taxes or Tax Returns of the Issuer or any of the Issuer Subsidiaries, other than any audit or administrative or court proceeding that is not reasonably expected to result in a material Tax liability to the Issuer or any of the Issuer Subsidiaries.</w:t>
      </w:r>
    </w:p>
    <w:p>
      <w:pPr>
        <w:spacing w:after="0" w:line="181" w:lineRule="exact"/>
        <w:rPr>
          <w:sz w:val="20"/>
          <w:szCs w:val="20"/>
          <w:color w:val="auto"/>
        </w:rPr>
      </w:pPr>
    </w:p>
    <w:p>
      <w:pPr>
        <w:ind w:left="1940" w:firstLine="645"/>
        <w:spacing w:after="0" w:line="264" w:lineRule="auto"/>
        <w:rPr>
          <w:sz w:val="20"/>
          <w:szCs w:val="20"/>
          <w:color w:val="auto"/>
        </w:rPr>
      </w:pPr>
      <w:r>
        <w:rPr>
          <w:rFonts w:ascii="Times New Roman" w:cs="Times New Roman" w:eastAsia="Times New Roman" w:hAnsi="Times New Roman"/>
          <w:sz w:val="18"/>
          <w:szCs w:val="18"/>
          <w:color w:val="010000"/>
        </w:rPr>
        <w:t xml:space="preserve">(E)             </w:t>
      </w:r>
      <w:r>
        <w:rPr>
          <w:rFonts w:ascii="Times New Roman" w:cs="Times New Roman" w:eastAsia="Times New Roman" w:hAnsi="Times New Roman"/>
          <w:sz w:val="18"/>
          <w:szCs w:val="18"/>
          <w:color w:val="000000"/>
        </w:rPr>
        <w:t>The Issuer has made available to the Subscriber complete and accurate copies of all material Tax Returns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requested by the Subscriber and filed by or on behalf of the Issuer or any of the Issuer Subsidiaries for all taxable years ending on or prior to the date hereof and for which the statute of limitations has not expired.</w:t>
      </w:r>
    </w:p>
    <w:p>
      <w:pPr>
        <w:spacing w:after="0" w:line="177" w:lineRule="exact"/>
        <w:rPr>
          <w:sz w:val="20"/>
          <w:szCs w:val="20"/>
          <w:color w:val="auto"/>
        </w:rPr>
      </w:pPr>
    </w:p>
    <w:p>
      <w:pPr>
        <w:ind w:left="1940" w:right="6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(F)             </w:t>
      </w:r>
      <w:r>
        <w:rPr>
          <w:rFonts w:ascii="Times New Roman" w:cs="Times New Roman" w:eastAsia="Times New Roman" w:hAnsi="Times New Roman"/>
          <w:sz w:val="18"/>
          <w:szCs w:val="18"/>
          <w:color w:val="000000"/>
        </w:rPr>
        <w:t>There are no Tax Protection Agreements except for those the breach of which would not reasonably be expected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have a Material Adverse Effect. Neither the Issuer nor any Subsidiary has any liability for Taxes of any Person under Treasury Regulation Section 1.1502-6 (or any similar provision of any state, local or foreign Law), or as a transferee or successor (by contract or otherwise), other than (1) to an Issuer Subsidiary or (2) where any such liability would not reasonably be expected to have a Material Adverse Effect.</w:t>
      </w:r>
    </w:p>
    <w:p>
      <w:pPr>
        <w:spacing w:after="0" w:line="184" w:lineRule="exact"/>
        <w:rPr>
          <w:sz w:val="20"/>
          <w:szCs w:val="20"/>
          <w:color w:val="auto"/>
        </w:rPr>
      </w:pPr>
    </w:p>
    <w:p>
      <w:pPr>
        <w:ind w:firstLine="1290"/>
        <w:spacing w:after="0" w:line="253" w:lineRule="auto"/>
        <w:rPr>
          <w:sz w:val="20"/>
          <w:szCs w:val="20"/>
          <w:color w:val="auto"/>
        </w:rPr>
      </w:pPr>
      <w:r>
        <w:rPr>
          <w:rFonts w:ascii="Times New Roman" w:cs="Times New Roman" w:eastAsia="Times New Roman" w:hAnsi="Times New Roman"/>
          <w:sz w:val="18"/>
          <w:szCs w:val="18"/>
          <w:color w:val="auto"/>
        </w:rPr>
        <w:t>(xxii)        </w:t>
      </w: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 Except as would not, individually or in the aggregate, reasonably be expected to have a Material Adverse Effect, each Material Contract is valid and binding on the Issuer or any of the Issuer Subsidiaries, as applicable, and, to the Knowledge of the Issuer, on each other Person party thereto, and is in full force and effect. Each of the Issuer and the Issuer Subsidiaries has performed, in all material respects, all obligations required to be performed by it under each Material Contract, except, in each case, as would not, individually or in the aggregate, reasonably be expected to have a Material Adverse Effect. Neither the Issuer nor any of the Issuer Subsidiaries is in breach or default of any Material Contract, except, in each case, as would not reasonably be expected to have, individually or in the aggregate, a Material Adverse Effect. To the Knowledge of the Issuer, no party to any Material Contract has given written notice of any action to terminate, cancel, rescind or procure a judicial reformation of such Material Contract or any material provision thereof, which termination, cancellation, rescission or reformation would reasonably be expected to have, individually or in the aggregate, a Material Adverse Effect. For the avoidance of doubt, Material Contracts do not include intercompany contracts.</w:t>
      </w:r>
    </w:p>
    <w:p>
      <w:pPr>
        <w:spacing w:after="0" w:line="186" w:lineRule="exact"/>
        <w:rPr>
          <w:sz w:val="20"/>
          <w:szCs w:val="20"/>
          <w:color w:val="auto"/>
        </w:rPr>
      </w:pPr>
    </w:p>
    <w:p>
      <w:pPr>
        <w:ind w:right="300" w:firstLine="1290"/>
        <w:spacing w:after="0" w:line="265" w:lineRule="auto"/>
        <w:rPr>
          <w:sz w:val="20"/>
          <w:szCs w:val="20"/>
          <w:color w:val="auto"/>
        </w:rPr>
      </w:pPr>
      <w:r>
        <w:rPr>
          <w:rFonts w:ascii="Times New Roman" w:cs="Times New Roman" w:eastAsia="Times New Roman" w:hAnsi="Times New Roman"/>
          <w:sz w:val="18"/>
          <w:szCs w:val="18"/>
          <w:color w:val="auto"/>
        </w:rPr>
        <w:t xml:space="preserve">(xxiii)       </w:t>
      </w:r>
      <w:r>
        <w:rPr>
          <w:rFonts w:ascii="Times New Roman" w:cs="Times New Roman" w:eastAsia="Times New Roman" w:hAnsi="Times New Roman"/>
          <w:sz w:val="18"/>
          <w:szCs w:val="18"/>
          <w:i w:val="1"/>
          <w:iCs w:val="1"/>
          <w:color w:val="auto"/>
        </w:rPr>
        <w:t>Waiver of Section 203.</w:t>
      </w:r>
      <w:r>
        <w:rPr>
          <w:rFonts w:ascii="Times New Roman" w:cs="Times New Roman" w:eastAsia="Times New Roman" w:hAnsi="Times New Roman"/>
          <w:sz w:val="18"/>
          <w:szCs w:val="18"/>
          <w:color w:val="auto"/>
        </w:rPr>
        <w:t xml:space="preserve"> The Board has effectively and validly waived the applicability of Section 203 of the Delaware General Corporation Law to the Subscriber such that the Subscriber may acquire the Purchased Shares without being subject to Section 203’s restrictions on business combinations.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4" w:name="page25"/>
    <w:bookmarkEnd w:id="24"/>
    <w:p>
      <w:pPr>
        <w:ind w:firstLine="1290"/>
        <w:spacing w:after="0" w:line="265" w:lineRule="auto"/>
        <w:rPr>
          <w:sz w:val="20"/>
          <w:szCs w:val="20"/>
          <w:color w:val="auto"/>
        </w:rPr>
      </w:pPr>
      <w:r>
        <w:rPr>
          <w:rFonts w:ascii="Times New Roman" w:cs="Times New Roman" w:eastAsia="Times New Roman" w:hAnsi="Times New Roman"/>
          <w:sz w:val="18"/>
          <w:szCs w:val="18"/>
          <w:color w:val="auto"/>
        </w:rPr>
        <w:t xml:space="preserve">(xxiv)       </w:t>
      </w:r>
      <w:r>
        <w:rPr>
          <w:rFonts w:ascii="Times New Roman" w:cs="Times New Roman" w:eastAsia="Times New Roman" w:hAnsi="Times New Roman"/>
          <w:sz w:val="18"/>
          <w:szCs w:val="18"/>
          <w:i w:val="1"/>
          <w:iCs w:val="1"/>
          <w:color w:val="auto"/>
        </w:rPr>
        <w:t>Section 16(b) of Exchange Act.</w:t>
      </w:r>
      <w:r>
        <w:rPr>
          <w:rFonts w:ascii="Times New Roman" w:cs="Times New Roman" w:eastAsia="Times New Roman" w:hAnsi="Times New Roman"/>
          <w:sz w:val="18"/>
          <w:szCs w:val="18"/>
          <w:color w:val="auto"/>
        </w:rPr>
        <w:t xml:space="preserve"> The Board has pre-approved the Transaction and all direct or indirect transactions related thereto between or among William A. Ackman, Ryan Israel, the Subscriber, InsuranceCo and the Issuer and/or any of their respective Affiliates, and the Transaction and such other transactions are exempt from Section 16(b) of the Exchange Act by virtue of Rule 16b-3 thereunder.</w:t>
      </w:r>
    </w:p>
    <w:p>
      <w:pPr>
        <w:spacing w:after="0" w:line="174" w:lineRule="exact"/>
        <w:rPr>
          <w:sz w:val="20"/>
          <w:szCs w:val="20"/>
          <w:color w:val="auto"/>
        </w:rPr>
      </w:pPr>
    </w:p>
    <w:p>
      <w:pPr>
        <w:ind w:right="300" w:firstLine="1290"/>
        <w:spacing w:after="0" w:line="257" w:lineRule="auto"/>
        <w:rPr>
          <w:sz w:val="20"/>
          <w:szCs w:val="20"/>
          <w:color w:val="auto"/>
        </w:rPr>
      </w:pPr>
      <w:r>
        <w:rPr>
          <w:rFonts w:ascii="Times New Roman" w:cs="Times New Roman" w:eastAsia="Times New Roman" w:hAnsi="Times New Roman"/>
          <w:sz w:val="18"/>
          <w:szCs w:val="18"/>
          <w:color w:val="auto"/>
        </w:rPr>
        <w:t>(xxv)        </w:t>
      </w:r>
      <w:r>
        <w:rPr>
          <w:rFonts w:ascii="Times New Roman" w:cs="Times New Roman" w:eastAsia="Times New Roman" w:hAnsi="Times New Roman"/>
          <w:sz w:val="18"/>
          <w:szCs w:val="18"/>
          <w:i w:val="1"/>
          <w:iCs w:val="1"/>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the Issuer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neither the Issuer nor any other Person makes any express or implied representation or warranty in this Agreement with respect to the Issuer or its Subsidiaries or their respective business, operations, assets, liabilities, condition (financial or otherwise) or prospects, notwithstanding the delivery or disclosure to the Subscriber or any other members of the Subscriber Group or their respective representatives of any documentation, forecast or other information with respect to any one or more of the foregoing.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Representations and Warranties of the Subscriber</w:t>
      </w:r>
      <w:r>
        <w:rPr>
          <w:rFonts w:ascii="Times New Roman" w:cs="Times New Roman" w:eastAsia="Times New Roman" w:hAnsi="Times New Roman"/>
          <w:sz w:val="18"/>
          <w:szCs w:val="18"/>
          <w:color w:val="auto"/>
        </w:rPr>
        <w:t>. The Subscriber represents and warrants to the Issuer and InsuranceCo that:</w:t>
      </w:r>
    </w:p>
    <w:p>
      <w:pPr>
        <w:spacing w:after="0" w:line="221" w:lineRule="exact"/>
        <w:rPr>
          <w:sz w:val="20"/>
          <w:szCs w:val="20"/>
          <w:color w:val="auto"/>
        </w:rPr>
      </w:pPr>
    </w:p>
    <w:p>
      <w:pPr>
        <w:ind w:right="80" w:firstLine="1290"/>
        <w:spacing w:after="0" w:line="257"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The Subscriber is duly organized and is validly existing and, where applicable, in good standing under the Laws of its jurisdiction of organization, with the requisite power and authority to undertake and effectuate the Transaction. The Subscriber has been duly qualified for the transaction of business and, where applicable, is in good standing under the Laws of each other jurisdiction in which it operates so as to require such qualification, except where the failure to be so qualified, licensed or in good standing would not, individually or in the aggregate, have or be reasonably expected to materially delay or prevent the consummation of the Transaction.</w:t>
      </w:r>
    </w:p>
    <w:p>
      <w:pPr>
        <w:spacing w:after="0" w:line="182" w:lineRule="exact"/>
        <w:rPr>
          <w:sz w:val="20"/>
          <w:szCs w:val="20"/>
          <w:color w:val="auto"/>
        </w:rPr>
      </w:pPr>
    </w:p>
    <w:p>
      <w:pPr>
        <w:ind w:right="60" w:firstLine="1290"/>
        <w:spacing w:after="0" w:line="265"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Power and Authority</w:t>
      </w:r>
      <w:r>
        <w:rPr>
          <w:rFonts w:ascii="Times New Roman" w:cs="Times New Roman" w:eastAsia="Times New Roman" w:hAnsi="Times New Roman"/>
          <w:sz w:val="18"/>
          <w:szCs w:val="18"/>
          <w:color w:val="auto"/>
        </w:rPr>
        <w:t>. The Subscriber has the requisite power and authority to enter into, execute and deliver this Agreement and to perform its obligations hereunder and has taken all necessary action required for the due authorization, execution, delivery and performance by it of this Agreement.</w:t>
      </w:r>
    </w:p>
    <w:p>
      <w:pPr>
        <w:spacing w:after="0" w:line="174" w:lineRule="exact"/>
        <w:rPr>
          <w:sz w:val="20"/>
          <w:szCs w:val="20"/>
          <w:color w:val="auto"/>
        </w:rPr>
      </w:pPr>
    </w:p>
    <w:p>
      <w:pPr>
        <w:ind w:right="140" w:firstLine="1290"/>
        <w:spacing w:after="0" w:line="260"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Execution and Delivery</w:t>
      </w:r>
      <w:r>
        <w:rPr>
          <w:rFonts w:ascii="Times New Roman" w:cs="Times New Roman" w:eastAsia="Times New Roman" w:hAnsi="Times New Roman"/>
          <w:sz w:val="18"/>
          <w:szCs w:val="18"/>
          <w:color w:val="auto"/>
        </w:rPr>
        <w:t>. This Agreement has been duly and validly executed and delivered by the Subscriber, and, assuming due and valid execution and delivery by the Issuer and InsuranceCo, constitutes its valid and binding obligation, enforceable against the Subscriber in accordance with its terms, except as such enforceability may be limited by general principles of equity, including principles of commercial reasonableness, good faith and fair dealing (regardless of whether enforcement is sought in a proceeding at Law or in equity).</w:t>
      </w:r>
    </w:p>
    <w:p>
      <w:pPr>
        <w:spacing w:after="0" w:line="178" w:lineRule="exact"/>
        <w:rPr>
          <w:sz w:val="20"/>
          <w:szCs w:val="20"/>
          <w:color w:val="auto"/>
        </w:rPr>
      </w:pPr>
    </w:p>
    <w:p>
      <w:pPr>
        <w:ind w:right="120" w:firstLine="1290"/>
        <w:spacing w:after="0" w:line="270" w:lineRule="auto"/>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i w:val="1"/>
          <w:iCs w:val="1"/>
          <w:color w:val="auto"/>
        </w:rPr>
        <w:t>No Conflict</w:t>
      </w:r>
      <w:r>
        <w:rPr>
          <w:rFonts w:ascii="Times New Roman" w:cs="Times New Roman" w:eastAsia="Times New Roman" w:hAnsi="Times New Roman"/>
          <w:sz w:val="17"/>
          <w:szCs w:val="17"/>
          <w:color w:val="auto"/>
        </w:rPr>
        <w:t>. The execution and delivery of this Agreement and the performance by the Subscriber of its obligations hereunder and compliance by the Subscriber with all of the provisions hereof and the consummation of the Transaction (i) shall not conflict with, or result in a breach or violation of, any of the terms or provisions of, or constitute a default under, or result in the acceleration of, or the creation of any Lien under, or give rise to any termination right under, any material contract to which the Subscriber is a party, (ii) shall not result in any violation or breach of any provisions of the organizational documents of the Subscriber and (iii) shall not conflict with or result in any violation of, or any termination or material impairment of any rights under, any statute or any license, authorization, injunction, judgment, order, decree, rule or regulation of any court or governmental agency or body having jurisdiction over the Subscriber or the Subscriber’s properties or assets, except with respect to each of (i), (ii) and (iii), such conflicts, violations or defaults as would not be reasonably expected to have a material adverse effect on the ability of the Subscriber to consummate the Transaction.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5" w:name="page26"/>
    <w:bookmarkEnd w:id="25"/>
    <w:p>
      <w:pPr>
        <w:ind w:right="100" w:firstLine="1290"/>
        <w:spacing w:after="0" w:line="260"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 No consent, approval, order, authorization, registration or qualification of or with any Governmental Entity having jurisdiction over the Subscriber is required in connection with the execution and delivery by the Subscriber of this Agreement or the consummation of the Transaction, except such consents, approvals, orders, authorizations, registration or qualification as would not reasonably be expected to materially and adversely affect the ability of the Subscriber to perform its obligations under this Agreement.</w:t>
      </w:r>
    </w:p>
    <w:p>
      <w:pPr>
        <w:spacing w:after="0" w:line="178" w:lineRule="exact"/>
        <w:rPr>
          <w:sz w:val="20"/>
          <w:szCs w:val="20"/>
          <w:color w:val="auto"/>
        </w:rPr>
      </w:pPr>
    </w:p>
    <w:p>
      <w:pPr>
        <w:ind w:right="80" w:firstLine="1290"/>
        <w:spacing w:after="0" w:line="265"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Subscriber is in compliance with all Laws applicable to Subscriber, except, in each case, for such non-compliance as would not reasonably be expected to materially and adversely affect the ability of the Subscriber to perform its obligations under this Agreement.</w:t>
      </w:r>
    </w:p>
    <w:p>
      <w:pPr>
        <w:spacing w:after="0" w:line="174" w:lineRule="exact"/>
        <w:rPr>
          <w:sz w:val="20"/>
          <w:szCs w:val="20"/>
          <w:color w:val="auto"/>
        </w:rPr>
      </w:pPr>
    </w:p>
    <w:p>
      <w:pPr>
        <w:ind w:right="180" w:firstLine="1290"/>
        <w:spacing w:after="0" w:line="265"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There are no legal, governmental or regulatory investigations, actions, suits or proceedings pending or, to the knowledge of the Subscriber, threatened against the Subscriber which, individually or in the aggregate, if determined adversely to the Subscriber, would materially and adversely affect the ability of Subscriber to perform its obligations under this Agreement.</w:t>
      </w:r>
    </w:p>
    <w:p>
      <w:pPr>
        <w:spacing w:after="0" w:line="174" w:lineRule="exact"/>
        <w:rPr>
          <w:sz w:val="20"/>
          <w:szCs w:val="20"/>
          <w:color w:val="auto"/>
        </w:rPr>
      </w:pPr>
    </w:p>
    <w:p>
      <w:pPr>
        <w:ind w:right="100" w:firstLine="1290"/>
        <w:spacing w:after="0" w:line="282"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i w:val="1"/>
          <w:iCs w:val="1"/>
          <w:color w:val="auto"/>
        </w:rPr>
        <w:t>No Broker’s Fees</w:t>
      </w:r>
      <w:r>
        <w:rPr>
          <w:rFonts w:ascii="Times New Roman" w:cs="Times New Roman" w:eastAsia="Times New Roman" w:hAnsi="Times New Roman"/>
          <w:sz w:val="18"/>
          <w:szCs w:val="18"/>
          <w:color w:val="auto"/>
        </w:rPr>
        <w:t>. The Subscriber is not party to any contract, agreement or understanding with any Person that would give rise to a valid claim against the Issuer for an investment banking fee, commission, finder’s fee or like payment in connection with the Transaction.</w:t>
      </w:r>
    </w:p>
    <w:p>
      <w:pPr>
        <w:spacing w:after="0" w:line="159" w:lineRule="exact"/>
        <w:rPr>
          <w:sz w:val="20"/>
          <w:szCs w:val="20"/>
          <w:color w:val="auto"/>
        </w:rPr>
      </w:pPr>
    </w:p>
    <w:p>
      <w:pPr>
        <w:ind w:right="240" w:firstLine="1290"/>
        <w:spacing w:after="0" w:line="260"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i w:val="1"/>
          <w:iCs w:val="1"/>
          <w:color w:val="auto"/>
        </w:rPr>
        <w:t>Sophistication</w:t>
      </w:r>
      <w:r>
        <w:rPr>
          <w:rFonts w:ascii="Times New Roman" w:cs="Times New Roman" w:eastAsia="Times New Roman" w:hAnsi="Times New Roman"/>
          <w:sz w:val="18"/>
          <w:szCs w:val="18"/>
          <w:color w:val="auto"/>
        </w:rPr>
        <w:t>. The Subscriber is an “accredited investor” within the meaning of Rule 501(a) under the Securities Act. The Subscriber has such sufficient knowledge and experience in financial and business matters as to be capable of evaluating the merits and risks of its investment in the Purchased Shares and is able to bear any economic risks associated with such investment, including a complete loss of its investment in the Purchased Shares.</w:t>
      </w:r>
    </w:p>
    <w:p>
      <w:pPr>
        <w:spacing w:after="0" w:line="178" w:lineRule="exact"/>
        <w:rPr>
          <w:sz w:val="20"/>
          <w:szCs w:val="20"/>
          <w:color w:val="auto"/>
        </w:rPr>
      </w:pPr>
    </w:p>
    <w:p>
      <w:pPr>
        <w:ind w:right="20" w:firstLine="1290"/>
        <w:spacing w:after="0" w:line="26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Subscriber Intent</w:t>
      </w:r>
      <w:r>
        <w:rPr>
          <w:rFonts w:ascii="Times New Roman" w:cs="Times New Roman" w:eastAsia="Times New Roman" w:hAnsi="Times New Roman"/>
          <w:sz w:val="18"/>
          <w:szCs w:val="18"/>
          <w:color w:val="auto"/>
        </w:rPr>
        <w:t>. The Subscriber is acquiring the Purchased Shares not with a view to or for distributing or reselling such Purchased Shares or any part thereof, without prejudice, however, to the Subscriber’s right, subject to the provisions of this Agreement, at all times to sell or otherwise dispose of all or any part of such Purchased Shares pursuant to an effective registration statement under the Securities Act or under an exemption from such registration and in compliance with applicable federal and state securities Laws.</w:t>
      </w:r>
    </w:p>
    <w:p>
      <w:pPr>
        <w:spacing w:after="0" w:line="178" w:lineRule="exact"/>
        <w:rPr>
          <w:sz w:val="20"/>
          <w:szCs w:val="20"/>
          <w:color w:val="auto"/>
        </w:rPr>
      </w:pPr>
    </w:p>
    <w:p>
      <w:pPr>
        <w:ind w:right="380" w:firstLine="1290"/>
        <w:spacing w:after="0" w:line="282"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i w:val="1"/>
          <w:iCs w:val="1"/>
          <w:color w:val="auto"/>
        </w:rPr>
        <w:t>Reliance on Exemptions</w:t>
      </w:r>
      <w:r>
        <w:rPr>
          <w:rFonts w:ascii="Times New Roman" w:cs="Times New Roman" w:eastAsia="Times New Roman" w:hAnsi="Times New Roman"/>
          <w:sz w:val="18"/>
          <w:szCs w:val="18"/>
          <w:color w:val="auto"/>
        </w:rPr>
        <w:t>. The Subscriber understands that the Purchased Shares are being offered and sold to the Subscriber in reliance upon specific exemptions from the registration requirements of United States federal and state securities Laws.</w:t>
      </w:r>
    </w:p>
    <w:p>
      <w:pPr>
        <w:spacing w:after="0" w:line="159" w:lineRule="exact"/>
        <w:rPr>
          <w:sz w:val="20"/>
          <w:szCs w:val="20"/>
          <w:color w:val="auto"/>
        </w:rPr>
      </w:pPr>
    </w:p>
    <w:p>
      <w:pPr>
        <w:ind w:firstLine="1290"/>
        <w:spacing w:after="0" w:line="265" w:lineRule="auto"/>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Subscriber understands that the Purchased Shares, if certificated, may be notated with one or all of the following legend or any legend required by the securities laws of any state to the extent such laws are applicable to the Purchased Shares represented by the certificate, instrument, or book entry so legended:</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OR STATE SECURITIES LAWS AND CANNOT BE OFFERED, SOLD, OR OTHERWISE TRANSFERRED IN THE ABSENCE OF REGISTRATION OR THE AVAILABILITY OF AN EXEMPTION FROM REGISTRATION UNDER THE SECURITIES ACT OF 1933, AS AMENDED, AND REGULATIONS PROMULGATED THEREUNDER AND APPLICABLE STATE SECURITIES LAWS. IN ADDITION, THE SECURITIES REPRESENTED HEREBY MAY BE TRANSFERRED ONLY IN ACCORDANCE WITH THE TERMS OF AN AGREEMENT BETWEEN THE COMPANY AND THE SECURITYHOLDER, A COPY OF WHICH IS ON FILE WITH THE SECRETARY OF THE COMPANY.”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6" w:name="page27"/>
    <w:bookmarkEnd w:id="26"/>
    <w:p>
      <w:pPr>
        <w:ind w:right="520" w:firstLine="1290"/>
        <w:spacing w:after="0" w:line="282"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i w:val="1"/>
          <w:iCs w:val="1"/>
          <w:color w:val="auto"/>
        </w:rPr>
        <w:t>Financial Capability</w:t>
      </w:r>
      <w:r>
        <w:rPr>
          <w:rFonts w:ascii="Times New Roman" w:cs="Times New Roman" w:eastAsia="Times New Roman" w:hAnsi="Times New Roman"/>
          <w:sz w:val="18"/>
          <w:szCs w:val="18"/>
          <w:color w:val="auto"/>
        </w:rPr>
        <w:t>. The Subscriber has available funds to satisfy its obligations under this Agreement, including without limitation the payment of the Purchase Price.</w:t>
      </w:r>
    </w:p>
    <w:p>
      <w:pPr>
        <w:spacing w:after="0" w:line="159" w:lineRule="exact"/>
        <w:rPr>
          <w:sz w:val="20"/>
          <w:szCs w:val="20"/>
          <w:color w:val="auto"/>
        </w:rPr>
      </w:pPr>
    </w:p>
    <w:p>
      <w:pPr>
        <w:ind w:right="180" w:firstLine="1290"/>
        <w:spacing w:after="0" w:line="260" w:lineRule="auto"/>
        <w:rPr>
          <w:sz w:val="20"/>
          <w:szCs w:val="20"/>
          <w:color w:val="auto"/>
        </w:rPr>
      </w:pPr>
      <w:r>
        <w:rPr>
          <w:rFonts w:ascii="Times New Roman" w:cs="Times New Roman" w:eastAsia="Times New Roman" w:hAnsi="Times New Roman"/>
          <w:sz w:val="18"/>
          <w:szCs w:val="18"/>
          <w:color w:val="auto"/>
        </w:rPr>
        <w:t xml:space="preserve">(xiv)         </w:t>
      </w:r>
      <w:r>
        <w:rPr>
          <w:rFonts w:ascii="Times New Roman" w:cs="Times New Roman" w:eastAsia="Times New Roman" w:hAnsi="Times New Roman"/>
          <w:sz w:val="18"/>
          <w:szCs w:val="18"/>
          <w:i w:val="1"/>
          <w:iCs w:val="1"/>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Subscriber in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neither the Subscriber nor any other Person on behalf of the Subscriber makes any express or implied representation or warranty in this Agreement with respect to the Subscriber or its respective business, operations, assets, liabilities, condition (financial or otherwise) or prospects, notwithstanding the delivery or disclosure of any documentation, forecast or other information with respect to any one or more of the foregoing.</w:t>
      </w:r>
    </w:p>
    <w:p>
      <w:pPr>
        <w:spacing w:after="0" w:line="178" w:lineRule="exact"/>
        <w:rPr>
          <w:sz w:val="20"/>
          <w:szCs w:val="20"/>
          <w:color w:val="auto"/>
        </w:rPr>
      </w:pPr>
    </w:p>
    <w:p>
      <w:pPr>
        <w:ind w:right="40" w:firstLine="1290"/>
        <w:spacing w:after="0" w:line="254" w:lineRule="auto"/>
        <w:rPr>
          <w:sz w:val="20"/>
          <w:szCs w:val="20"/>
          <w:color w:val="auto"/>
        </w:rPr>
      </w:pPr>
      <w:r>
        <w:rPr>
          <w:rFonts w:ascii="Times New Roman" w:cs="Times New Roman" w:eastAsia="Times New Roman" w:hAnsi="Times New Roman"/>
          <w:sz w:val="18"/>
          <w:szCs w:val="18"/>
          <w:color w:val="auto"/>
        </w:rPr>
        <w:t>(xv)          </w:t>
      </w:r>
      <w:r>
        <w:rPr>
          <w:rFonts w:ascii="Times New Roman" w:cs="Times New Roman" w:eastAsia="Times New Roman" w:hAnsi="Times New Roman"/>
          <w:sz w:val="18"/>
          <w:szCs w:val="18"/>
          <w:i w:val="1"/>
          <w:iCs w:val="1"/>
          <w:color w:val="auto"/>
        </w:rPr>
        <w:t>Acknowledgment</w:t>
      </w:r>
      <w:r>
        <w:rPr>
          <w:rFonts w:ascii="Times New Roman" w:cs="Times New Roman" w:eastAsia="Times New Roman" w:hAnsi="Times New Roman"/>
          <w:sz w:val="18"/>
          <w:szCs w:val="18"/>
          <w:color w:val="auto"/>
        </w:rPr>
        <w:t xml:space="preserve">. The Subscriber acknowledges that (a) neither the Issuer nor any Person on behalf of the Issuer is making any representations or warranties whatsoever, express or implied, beyond those expressly given by the Issuer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(b) neither InsuranceCo nor any Person on behalf of InsuranceCo is making any representations or warranties whatsoever, express or implied, beyond those expressly given by InsuranceCo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and (c) the Subscriber has not been induced by, or relied upon, any representations, warranties or statements (written or oral), whether express or implied, made by any Person, that are not expressly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Without limiting the generality of the foregoing, except with respect to the representations and warranties contained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the Subscriber acknowledges that no representations or warranties are made with respect to any projections, forecasts, estimates, budgets, plans or prospect information that may have been made available to the Subscriber or any of its representatives.</w:t>
      </w:r>
    </w:p>
    <w:p>
      <w:pPr>
        <w:spacing w:after="0" w:line="184" w:lineRule="exact"/>
        <w:rPr>
          <w:sz w:val="20"/>
          <w:szCs w:val="20"/>
          <w:color w:val="auto"/>
        </w:rPr>
      </w:pPr>
    </w:p>
    <w:p>
      <w:pPr>
        <w:ind w:right="100" w:firstLine="645"/>
        <w:spacing w:after="0" w:line="26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Representations and Warranties of InsuranceCo</w:t>
      </w:r>
      <w:r>
        <w:rPr>
          <w:rFonts w:ascii="Times New Roman" w:cs="Times New Roman" w:eastAsia="Times New Roman" w:hAnsi="Times New Roman"/>
          <w:sz w:val="18"/>
          <w:szCs w:val="18"/>
          <w:color w:val="auto"/>
        </w:rPr>
        <w:t>. InsuranceCo represents and warrants to, and agrees with, the Issuer and Subscriber below, except as set forth in the disclosure schedule delivered by InsuranceCo to the Issuer and the Subscriber on the date of this Agreement (the “</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1290"/>
        <w:spacing w:after="0" w:line="255"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xml:space="preserve"> InsuranceCo and each of its direct and indirect Subsidiaries is duly organized and is validly existing as a corporation or other form of entity, where applicable, in good standing under the Laws of their respective jurisdictions of organization, with the requisite power and authority to own, operate or manage its properties and conduct its business as currently conducted. InsuranceCo and each of its Subsidiaries has been duly qualified as a foreign corporation or other form of entity for the transaction of business and, where applicable, is in good standing under the Laws of each other jurisdiction in which it owns, manages, operates or leases properties or conducts business so as to require such qualification.</w:t>
      </w:r>
    </w:p>
    <w:p>
      <w:pPr>
        <w:spacing w:after="0" w:line="185" w:lineRule="exact"/>
        <w:rPr>
          <w:sz w:val="20"/>
          <w:szCs w:val="20"/>
          <w:color w:val="auto"/>
        </w:rPr>
      </w:pPr>
    </w:p>
    <w:p>
      <w:pPr>
        <w:ind w:right="320" w:firstLine="1290"/>
        <w:spacing w:after="0" w:line="265"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Corporate Power and Authority</w:t>
      </w:r>
      <w:r>
        <w:rPr>
          <w:rFonts w:ascii="Times New Roman" w:cs="Times New Roman" w:eastAsia="Times New Roman" w:hAnsi="Times New Roman"/>
          <w:sz w:val="18"/>
          <w:szCs w:val="18"/>
          <w:color w:val="auto"/>
        </w:rPr>
        <w:t>. InsuranceCo has the requisite power and authority to enter into, execute and deliver this Agreement and to perform its obligations hereunder. InsuranceCo has taken all necessary corporate action required for the due authorization, execution, delivery and performance by it of this Agreement.</w:t>
      </w:r>
    </w:p>
    <w:p>
      <w:pPr>
        <w:spacing w:after="0" w:line="174" w:lineRule="exact"/>
        <w:rPr>
          <w:sz w:val="20"/>
          <w:szCs w:val="20"/>
          <w:color w:val="auto"/>
        </w:rPr>
      </w:pPr>
    </w:p>
    <w:p>
      <w:pPr>
        <w:ind w:right="120" w:firstLine="1290"/>
        <w:spacing w:after="0" w:line="260"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Execution and Delivery; Enforceability.</w:t>
      </w:r>
      <w:r>
        <w:rPr>
          <w:rFonts w:ascii="Times New Roman" w:cs="Times New Roman" w:eastAsia="Times New Roman" w:hAnsi="Times New Roman"/>
          <w:sz w:val="18"/>
          <w:szCs w:val="18"/>
          <w:color w:val="auto"/>
        </w:rPr>
        <w:t xml:space="preserve"> This Agreement has been duly and validly executed and delivered by InsuranceCo and, assuming due and valid execution and delivery by the Issuer and the Subscriber, constitutes its valid and binding obligation, enforceable against InsuranceCo in accordance with its terms, except as such enforceability may be limited by general principles of equity, including principles of commercial reasonableness, good faith and fair dealing (regardless of whether enforcement is sought in a proceeding at Law or in equity).</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27" w:name="page28"/>
    <w:bookmarkEnd w:id="27"/>
    <w:p>
      <w:pPr>
        <w:ind w:firstLine="1290"/>
        <w:spacing w:after="0" w:line="25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 xml:space="preserve"> As of the date of this Agreement, Issuer is the sole member of InsuranceCo. As of the date of this Agreement, other than the interests held by Issuer, there is not outstanding, and there is not reserved for issuance, any (A) unit, share of capital stock or other voting securities of InsuranceCo; (B) security of Issuer, InsuranceCo or any of their Affiliates convertible into or exchangeable or exercisable for units, shares of capital stock or voting securities of InsuranceCo or its Subsidiaries; (C) option or other right to acquire from Issuer, InsuranceCo or any of their Affiliates or obligation of Issuer, InsuranceCo or any of their Affiliates to issue, any units, shares of capital stock, voting securities or security convertible into or exercisable or exchangeable for units, shares of capital stock or voting securities of InsuranceCo or its Subsidiaries, as the case may be; or (D) equity equivalent interest in the ownership or earnings of InsuranceCo or its Subsidiaries or other similar right, in each case to which Issuer, InsuranceCo or any of their Affiliates is a party (the items in clauses (A) through (D) collectively, “</w:t>
      </w:r>
      <w:r>
        <w:rPr>
          <w:rFonts w:ascii="Times New Roman" w:cs="Times New Roman" w:eastAsia="Times New Roman" w:hAnsi="Times New Roman"/>
          <w:sz w:val="18"/>
          <w:szCs w:val="18"/>
          <w:u w:val="single" w:color="auto"/>
          <w:color w:val="auto"/>
        </w:rPr>
        <w:t>InsuranceCo Equity Securities</w:t>
      </w:r>
      <w:r>
        <w:rPr>
          <w:rFonts w:ascii="Times New Roman" w:cs="Times New Roman" w:eastAsia="Times New Roman" w:hAnsi="Times New Roman"/>
          <w:sz w:val="18"/>
          <w:szCs w:val="18"/>
          <w:color w:val="auto"/>
        </w:rPr>
        <w:t>”). There is no outstanding obligation of InsuranceCo to repurchase, redeem or otherwise acquire any InsuranceCo Equity Security and there is no unitholder agreement, voting trust or other agreement or understanding to which InsuranceCo is a party or by which InsuranceCo is bound relating to the voting, purchase, transfer or registration of any shares of units or other securities of InsuranceCo or preemptive rights with respect thereto.</w:t>
      </w:r>
    </w:p>
    <w:p>
      <w:pPr>
        <w:spacing w:after="0" w:line="189" w:lineRule="exact"/>
        <w:rPr>
          <w:sz w:val="20"/>
          <w:szCs w:val="20"/>
          <w:color w:val="auto"/>
        </w:rPr>
      </w:pPr>
    </w:p>
    <w:p>
      <w:pPr>
        <w:ind w:right="240" w:firstLine="1290"/>
        <w:spacing w:after="0" w:line="276" w:lineRule="auto"/>
        <w:rPr>
          <w:sz w:val="20"/>
          <w:szCs w:val="20"/>
          <w:color w:val="auto"/>
        </w:rPr>
      </w:pPr>
      <w:r>
        <w:rPr>
          <w:rFonts w:ascii="Times New Roman" w:cs="Times New Roman" w:eastAsia="Times New Roman" w:hAnsi="Times New Roman"/>
          <w:sz w:val="17"/>
          <w:szCs w:val="17"/>
          <w:color w:val="auto"/>
        </w:rPr>
        <w:t xml:space="preserve">(v)           </w:t>
      </w:r>
      <w:r>
        <w:rPr>
          <w:rFonts w:ascii="Times New Roman" w:cs="Times New Roman" w:eastAsia="Times New Roman" w:hAnsi="Times New Roman"/>
          <w:sz w:val="17"/>
          <w:szCs w:val="17"/>
          <w:i w:val="1"/>
          <w:iCs w:val="1"/>
          <w:color w:val="auto"/>
        </w:rPr>
        <w:t>No Conflict.</w:t>
      </w:r>
      <w:r>
        <w:rPr>
          <w:rFonts w:ascii="Times New Roman" w:cs="Times New Roman" w:eastAsia="Times New Roman" w:hAnsi="Times New Roman"/>
          <w:sz w:val="17"/>
          <w:szCs w:val="17"/>
          <w:color w:val="auto"/>
        </w:rPr>
        <w:t xml:space="preserve"> The execution and delivery by InsuranceCo of this Agreement, the performance by InsuranceCo of its respective obligations under this Agreement and compliance by InsuranceCo with all of the provisions hereof and thereof and the consummation of the Transaction,</w:t>
      </w:r>
    </w:p>
    <w:p>
      <w:pPr>
        <w:spacing w:after="0" w:line="1" w:lineRule="exact"/>
        <w:rPr>
          <w:sz w:val="20"/>
          <w:szCs w:val="20"/>
          <w:color w:val="auto"/>
        </w:rPr>
      </w:pPr>
    </w:p>
    <w:p>
      <w:pPr>
        <w:ind w:right="20" w:firstLine="7"/>
        <w:spacing w:after="0" w:line="266" w:lineRule="auto"/>
        <w:tabs>
          <w:tab w:leader="none" w:pos="25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conflict with, or result in a breach or violation of, any of the terms or provisions of, or constitute a default under, or result in the acceleration of, or the creation of any Lien under, or give rise to any termination right under, any Contract to which InsuranceCo or, to the Knowledge of InsuranceCo, any of InsuranceCo’s Subsidiaries is a party or by which any of their material assets are subject or encumbered, (y) shall not result in any violation or breach of any terms, conditions or provisions of the certificate of incorporation or bylaws of InsuranceCo, or, to the Knowledge of InsuranceCo, the comparable organizational documents of InsuranceCo’s Subsidiaries, and (z) shall not conflict with or result in any violation or breach of, or any termination or impairment of any rights under, any statute or any license, authorization, injunction, judgment, order, decree, rule or regulation of any court or governmental agency or body having jurisdiction over InsuranceCo or, to the Knowledge of InsuranceCo, any of its Subsidiaries or any of their respective properties or assets, except, in the case of each of clauses (x) and (z) above, for any such conflict, breach, acceleration, Lien, termination, impairment, failure to comply, default or violation that would not, individually or in the aggregate, be reasonably expected to have a Material Adverse Effect.</w:t>
      </w:r>
    </w:p>
    <w:p>
      <w:pPr>
        <w:spacing w:after="0" w:line="179" w:lineRule="exact"/>
        <w:rPr>
          <w:sz w:val="20"/>
          <w:szCs w:val="20"/>
          <w:color w:val="auto"/>
        </w:rPr>
      </w:pPr>
    </w:p>
    <w:p>
      <w:pPr>
        <w:ind w:right="60" w:firstLine="1290"/>
        <w:spacing w:after="0" w:line="276" w:lineRule="auto"/>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i w:val="1"/>
          <w:iCs w:val="1"/>
          <w:color w:val="auto"/>
        </w:rPr>
        <w:t>Consents and Approvals.</w:t>
      </w:r>
      <w:r>
        <w:rPr>
          <w:rFonts w:ascii="Times New Roman" w:cs="Times New Roman" w:eastAsia="Times New Roman" w:hAnsi="Times New Roman"/>
          <w:sz w:val="17"/>
          <w:szCs w:val="17"/>
          <w:color w:val="auto"/>
        </w:rPr>
        <w:t xml:space="preserve"> No consent, approval, authorization, order, registration or qualification of or with any Governmental Entity having jurisdiction over InsuranceCo or, to the Knowledge of InsuranceCo, any of its Subsidiaries or any of their respective properties is required for</w:t>
      </w:r>
    </w:p>
    <w:p>
      <w:pPr>
        <w:spacing w:after="0" w:line="1" w:lineRule="exact"/>
        <w:rPr>
          <w:sz w:val="20"/>
          <w:szCs w:val="20"/>
          <w:color w:val="auto"/>
        </w:rPr>
      </w:pPr>
    </w:p>
    <w:p>
      <w:pPr>
        <w:jc w:val="both"/>
        <w:ind w:right="160" w:firstLine="7"/>
        <w:spacing w:after="0" w:line="252" w:lineRule="auto"/>
        <w:tabs>
          <w:tab w:leader="none" w:pos="2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sale and delivery of the Purchased Shares and (B) the execution and delivery by InsuranceCo of this Agreement and performance of and compliance by InsuranceCo with all of the provisions hereof and the consummation of the Transaction, except filings required under, and compliance with the applicable requirements of the Exchange Act and the rules and regulations promulgated thereunder and the Securities Act and the rules and regulations promulgated thereunder.</w:t>
      </w:r>
    </w:p>
    <w:p>
      <w:pPr>
        <w:spacing w:after="0" w:line="185" w:lineRule="exact"/>
        <w:rPr>
          <w:sz w:val="20"/>
          <w:szCs w:val="20"/>
          <w:color w:val="auto"/>
        </w:rPr>
      </w:pPr>
    </w:p>
    <w:p>
      <w:pPr>
        <w:ind w:right="40" w:firstLine="1290"/>
        <w:spacing w:after="0" w:line="282"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xml:space="preserve"> Since December 31, 2025, to the Knowledge of InsuranceCo, there has not occurred any event, fact or circumstance that has had or would reasonably be expected to have, individually, or in the aggregate, a Material Adverse Effect.</w:t>
      </w:r>
    </w:p>
    <w:p>
      <w:pPr>
        <w:spacing w:after="0" w:line="159" w:lineRule="exact"/>
        <w:rPr>
          <w:sz w:val="20"/>
          <w:szCs w:val="20"/>
          <w:color w:val="auto"/>
        </w:rPr>
      </w:pPr>
    </w:p>
    <w:p>
      <w:pPr>
        <w:ind w:right="20" w:firstLine="1290"/>
        <w:spacing w:after="0" w:line="253"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i w:val="1"/>
          <w:iCs w:val="1"/>
          <w:color w:val="auto"/>
        </w:rPr>
        <w:t>No Violation or Default; Licenses and Permits.</w:t>
      </w:r>
      <w:r>
        <w:rPr>
          <w:rFonts w:ascii="Times New Roman" w:cs="Times New Roman" w:eastAsia="Times New Roman" w:hAnsi="Times New Roman"/>
          <w:sz w:val="18"/>
          <w:szCs w:val="18"/>
          <w:color w:val="auto"/>
        </w:rPr>
        <w:t xml:space="preserve"> InsuranceCo and, to the Knowledge of InsuranceCo, its Subsidiaries (A) are in compliance with all Laws, statutes, ordinances, rules, regulations, orders, judgments and decrees of any court or governmental agency or body having jurisdiction over InsuranceCo or any of its Subsidiaries or any of their respective properties, and (B) have not received written notice of any alleged material violation of any of the foregoing except, in the case of each of clauses (A) and (B) above, for any such failure to comply, default or violation that would not, individually or in the aggregate, be reasonably expected to have a Material Adverse Effect. Each of InsuranceCo and, to the Knowledge of InsuranceCo, its Subsidiaries holds all material licenses, franchises, permits, certificates of occupancy, consents, registrations, certificates and other governmental and regulatory permits, authorizations and approvals required for the operation of the business as currently conducted by it and for the ownership, lease or operation of its material assets except, in each case, where the failure to possess or make the same would not, individually or in the aggregate,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8" w:name="page29"/>
    <w:bookmarkEnd w:id="28"/>
    <w:p>
      <w:pPr>
        <w:ind w:firstLine="1290"/>
        <w:spacing w:after="0" w:line="265"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There are no legal, governmental or regulatory investigations, actions, suits or proceedings pending or, to the Knowledge of InsuranceCo, threatened against InsuranceCo or any of its Subsidiaries which, individually, if determined adversely to InsuranceCo or any of its Subsidiaries, would reasonably be expected to have a Material Adverse Effect.</w:t>
      </w:r>
    </w:p>
    <w:p>
      <w:pPr>
        <w:spacing w:after="0" w:line="174" w:lineRule="exact"/>
        <w:rPr>
          <w:sz w:val="20"/>
          <w:szCs w:val="20"/>
          <w:color w:val="auto"/>
        </w:rPr>
      </w:pPr>
    </w:p>
    <w:p>
      <w:pPr>
        <w:ind w:firstLine="1290"/>
        <w:spacing w:after="0" w:line="265"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InsuranceCo is not, and, after giving effect to the Transaction and the application of the proceeds thereof, shall not be required to register as an “investment company” or an entity “controlled” by an “investment company” within the meaning of the Investment Company Act and the rules and regulations of the SEC thereunder.</w:t>
      </w:r>
    </w:p>
    <w:p>
      <w:pPr>
        <w:spacing w:after="0" w:line="174" w:lineRule="exact"/>
        <w:rPr>
          <w:sz w:val="20"/>
          <w:szCs w:val="20"/>
          <w:color w:val="auto"/>
        </w:rPr>
      </w:pPr>
    </w:p>
    <w:p>
      <w:pPr>
        <w:ind w:right="320" w:firstLine="1290"/>
        <w:spacing w:after="0" w:line="282"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InsuranceCo maintains for itself and, to the Knowledge of InsuranceCo, its Subsidiaries insurance policies in those amounts and covering those risks, as in its judgment, are reasonable for the business and assets of InsuranceCo and its Subsidiaries.</w:t>
      </w:r>
    </w:p>
    <w:p>
      <w:pPr>
        <w:spacing w:after="0" w:line="159" w:lineRule="exact"/>
        <w:rPr>
          <w:sz w:val="20"/>
          <w:szCs w:val="20"/>
          <w:color w:val="auto"/>
        </w:rPr>
      </w:pPr>
    </w:p>
    <w:p>
      <w:pPr>
        <w:ind w:right="20" w:firstLine="1290"/>
        <w:spacing w:after="0" w:line="255" w:lineRule="auto"/>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xml:space="preserve"> No action is pending or, to the Knowledge of InsuranceCo, is threatened against InsuranceCo or, to the Knowledge of InsuranceCo, any of its Subsidiaries or Affiliates, or any of their respective directors, officers, or employees resulting from any (A) use of corporate funds for any unlawful contribution, gift, entertainment or other unlawful expense relating to political activity, (B) direct or indirect unlawful payment to any foreign or domestic government official or employee from corporate funds, (C) violations of any provision of the Foreign Corrupt Practices Act of 1977 or any other applicable local anti-bribery or anti-corruption Laws in any relevant jurisdictions or (D) other unlawful payment, except in any such case, as would not reasonably be expected to have, individually or in the aggregate, a Material Adverse Effect.</w:t>
      </w:r>
    </w:p>
    <w:p>
      <w:pPr>
        <w:spacing w:after="0" w:line="185" w:lineRule="exact"/>
        <w:rPr>
          <w:sz w:val="20"/>
          <w:szCs w:val="20"/>
          <w:color w:val="auto"/>
        </w:rPr>
      </w:pPr>
    </w:p>
    <w:p>
      <w:pPr>
        <w:ind w:right="120" w:firstLine="1290"/>
        <w:spacing w:after="0" w:line="257"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i w:val="1"/>
          <w:iCs w:val="1"/>
          <w:color w:val="auto"/>
        </w:rPr>
        <w:t>No Broker’s Fees.</w:t>
      </w:r>
      <w:r>
        <w:rPr>
          <w:rFonts w:ascii="Times New Roman" w:cs="Times New Roman" w:eastAsia="Times New Roman" w:hAnsi="Times New Roman"/>
          <w:sz w:val="18"/>
          <w:szCs w:val="18"/>
          <w:color w:val="auto"/>
        </w:rPr>
        <w:t xml:space="preserve"> Neither InsuranceCo nor, to the Knowledge of InsuranceCo, any of its Subsidiaries is a party to any contract, agreement or understanding with any Person that would give rise to a valid claim against InsuranceCo or any of its Subsidiaries for an investment banking fee, finder’s fee or like payment in respect of the sale of the Purchased Shares contemplated by this Agreement. Neither InsuranceCo nor any of its Subsidiaries is a party to any contract, agreement or understanding with any Person that would give rise to a valid claim against the Subscriber for a brokerage commission, finder’s fee, investment banking fee or like payment in connection with the Transaction.</w:t>
      </w:r>
    </w:p>
    <w:p>
      <w:pPr>
        <w:spacing w:after="0" w:line="182" w:lineRule="exact"/>
        <w:rPr>
          <w:sz w:val="20"/>
          <w:szCs w:val="20"/>
          <w:color w:val="auto"/>
        </w:rPr>
      </w:pPr>
    </w:p>
    <w:p>
      <w:pPr>
        <w:ind w:right="220" w:firstLine="645"/>
        <w:spacing w:after="0" w:line="25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InsuranceCo in this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neither InsuranceCo nor any other Person makes any express or implied representation or warranty in this Agreement with respect to InsuranceCo or its Subsidiaries or their respective business, operations, assets, liabilities, condition (financial or otherwise) or prospects, notwithstanding the delivery or disclosure to the Subscriber or any other members of the Subscriber Group or their respective representatives of any documentation, forecast or other information with respect to any one or more of the foregoing.</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80"/>
          </w:cols>
          <w:pgMar w:left="320" w:top="872" w:right="39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Covenants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45"/>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InsuranceCo Common Units</w:t>
      </w:r>
      <w:r>
        <w:rPr>
          <w:rFonts w:ascii="Times New Roman" w:cs="Times New Roman" w:eastAsia="Times New Roman" w:hAnsi="Times New Roman"/>
          <w:sz w:val="18"/>
          <w:szCs w:val="18"/>
          <w:color w:val="auto"/>
        </w:rPr>
        <w:t>. As promptly as practicable after the date hereof, InsuranceCo will amend, restate or otherwise modify its operating agreement, certificate of formation and any other governing documents to provide for the authorization, creation and issuance of membership units representing the membership interests in InsuranceCo (the “</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Such amendment, restatement or modification shall (i) provide for the issuance of InsuranceCo Common Units to Issuer (which such InsuranceCo Common Units shall be the only outstanding membership units of InsuranceCo at such time) and (ii) establish a total number of authorized InsuranceCo Common Units sufficient to permit the full exchange of all outstanding Series A Preferred Stock into InsuranceCo Common Units in accordance with the terms of this Agreement and the Certificate of Designations. InsuranceCo shall deliver to Subscriber true, correct, and complete copies of all such amended governing documents promptly following the effectiveness of such amendment, restatement or modification. InsuranceCo shall reserve and keep available, free from preemptive rights, rights of first refusal, pledges or other similar rights, a sufficient number of InsuranceCo Common Units to permit the full exchange of all outstanding Series A Preferred Stock into InsuranceCo Common Units in accordance with the terms of this Agreement and the Certificate of Designations.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290"/>
        <w:spacing w:after="0" w:line="259" w:lineRule="auto"/>
        <w:rPr>
          <w:sz w:val="20"/>
          <w:szCs w:val="20"/>
          <w:color w:val="auto"/>
        </w:rPr>
      </w:pPr>
      <w:r>
        <w:rPr>
          <w:rFonts w:ascii="Times New Roman" w:cs="Times New Roman" w:eastAsia="Times New Roman" w:hAnsi="Times New Roman"/>
          <w:sz w:val="18"/>
          <w:szCs w:val="18"/>
          <w:color w:val="auto"/>
        </w:rPr>
        <w:t>(i)            Each of the Issuer and InsuranceCo covenants and agrees that it shall not, directly or indirectly, through any subsidiary, Affiliate or other Person, take any action or enter into any transaction or series of related transactions that is intended to or is reasonably expected to contravene, circumvent, avoid or materially impair the rights, preferences or protections of Subscriber or any other holder(s) of the Series A Preferred Stock or the obligations of Issuer or InsuranceCo set forth in this Agreement, the Certificate of Designations or the Registration Rights Agreement.</w:t>
      </w:r>
    </w:p>
    <w:p>
      <w:pPr>
        <w:spacing w:after="0" w:line="181" w:lineRule="exact"/>
        <w:rPr>
          <w:sz w:val="20"/>
          <w:szCs w:val="20"/>
          <w:color w:val="auto"/>
        </w:rPr>
      </w:pPr>
    </w:p>
    <w:p>
      <w:pPr>
        <w:ind w:firstLine="1290"/>
        <w:spacing w:after="0" w:line="255" w:lineRule="auto"/>
        <w:rPr>
          <w:sz w:val="20"/>
          <w:szCs w:val="20"/>
          <w:color w:val="auto"/>
        </w:rPr>
      </w:pPr>
      <w:r>
        <w:rPr>
          <w:rFonts w:ascii="Times New Roman" w:cs="Times New Roman" w:eastAsia="Times New Roman" w:hAnsi="Times New Roman"/>
          <w:sz w:val="18"/>
          <w:szCs w:val="18"/>
          <w:color w:val="auto"/>
        </w:rPr>
        <w:t>(ii)           InsuranceCo hereby acknowledges and agrees to the rights and covenants related to the exchange of Series A Preferred Stock into InsuranceCo Common Units set forth in the Certificate of Designations, including in Sections 8, 9, 10 and 12 thereof. Consistent with terms and conditions herein and in the Certificate of Designations, each of Issuer, InsuranceCo and Subscriber shall, and shall cause each of their respective Subsidiaries to, and shall use reasonable best efforts to cause each of their respective Affiliates to, as applicable, promptly execute, acknowledge and deliver such instruments, certificates and other documents and take such other action as may reasonably be required in order to carry out any of the transactions set forth in the Certificate of Designations, including in Sections 8, 9, 10 and 12 thereof.</w:t>
      </w:r>
    </w:p>
    <w:p>
      <w:pPr>
        <w:spacing w:after="0" w:line="185" w:lineRule="exact"/>
        <w:rPr>
          <w:sz w:val="20"/>
          <w:szCs w:val="20"/>
          <w:color w:val="auto"/>
        </w:rPr>
      </w:pPr>
    </w:p>
    <w:p>
      <w:pPr>
        <w:ind w:firstLine="1290"/>
        <w:spacing w:after="0" w:line="259" w:lineRule="auto"/>
        <w:rPr>
          <w:sz w:val="20"/>
          <w:szCs w:val="20"/>
          <w:color w:val="auto"/>
        </w:rPr>
      </w:pPr>
      <w:r>
        <w:rPr>
          <w:rFonts w:ascii="Times New Roman" w:cs="Times New Roman" w:eastAsia="Times New Roman" w:hAnsi="Times New Roman"/>
          <w:sz w:val="18"/>
          <w:szCs w:val="18"/>
          <w:color w:val="auto"/>
        </w:rPr>
        <w:t>(iii)          If, pursuant to Section 10(c) of the Certificate of Designations, Issuer is obligated to repurchase an excess portion of the shares of the Series A Preferred Stock requested to be exchanged by a holder of such Series A Preferred Stock, InsuranceCo shall, and Issuer shall request and cause InsuranceCo to, in each case to the extent legally permissible, distribute or otherwise make available to the Issuer funds sufficient to enable the Issuer to satisfy its repurchase obligation under the Certificate of Designations when due.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Right of First Refusal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290"/>
        <w:spacing w:after="0" w:line="259" w:lineRule="auto"/>
        <w:rPr>
          <w:sz w:val="20"/>
          <w:szCs w:val="20"/>
          <w:color w:val="auto"/>
        </w:rPr>
      </w:pPr>
      <w:r>
        <w:rPr>
          <w:rFonts w:ascii="Times New Roman" w:cs="Times New Roman" w:eastAsia="Times New Roman" w:hAnsi="Times New Roman"/>
          <w:sz w:val="18"/>
          <w:szCs w:val="18"/>
          <w:color w:val="auto"/>
        </w:rPr>
        <w:t>(i)             For as long as Subscriber holds shares of the Series A Preferred Stock or InsuranceCo Equity Securities, including InsuranceCo Common Units, each of Issuer and InsuranceCo (each a “</w:t>
      </w:r>
      <w:r>
        <w:rPr>
          <w:rFonts w:ascii="Times New Roman" w:cs="Times New Roman" w:eastAsia="Times New Roman" w:hAnsi="Times New Roman"/>
          <w:sz w:val="18"/>
          <w:szCs w:val="18"/>
          <w:u w:val="single" w:color="auto"/>
          <w:color w:val="auto"/>
        </w:rPr>
        <w:t>ROFR Seller</w:t>
      </w:r>
      <w:r>
        <w:rPr>
          <w:rFonts w:ascii="Times New Roman" w:cs="Times New Roman" w:eastAsia="Times New Roman" w:hAnsi="Times New Roman"/>
          <w:sz w:val="18"/>
          <w:szCs w:val="18"/>
          <w:color w:val="auto"/>
        </w:rPr>
        <w:t>”) hereby grants (and shall cause their Affiliates to similarly provide) to Subscriber a right of first refusal (the “</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with respect to any Proposed Secondary Sale of any InsuranceCo Equity Securities (including any instruments convertible into any InsuranceCo Equity Security).</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20"/>
          </w:cols>
          <w:pgMar w:left="320" w:top="874" w:right="459" w:bottom="1440" w:gutter="0" w:footer="0" w:header="0"/>
        </w:sectPr>
      </w:pPr>
    </w:p>
    <w:bookmarkStart w:id="30" w:name="page31"/>
    <w:bookmarkEnd w:id="30"/>
    <w:p>
      <w:pPr>
        <w:ind w:right="400" w:firstLine="1290"/>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Notice of Proposed Secondary Sale</w:t>
      </w:r>
      <w:r>
        <w:rPr>
          <w:rFonts w:ascii="Times New Roman" w:cs="Times New Roman" w:eastAsia="Times New Roman" w:hAnsi="Times New Roman"/>
          <w:sz w:val="18"/>
          <w:szCs w:val="18"/>
          <w:color w:val="auto"/>
        </w:rPr>
        <w:t>. Not less than thirty (30) days prior to any Proposed Secondary Sale to any third party, the applicable ROFR Seller, shall deliver written notice (the “</w:t>
      </w:r>
      <w:r>
        <w:rPr>
          <w:rFonts w:ascii="Times New Roman" w:cs="Times New Roman" w:eastAsia="Times New Roman" w:hAnsi="Times New Roman"/>
          <w:sz w:val="18"/>
          <w:szCs w:val="18"/>
          <w:u w:val="single" w:color="auto"/>
          <w:color w:val="auto"/>
        </w:rPr>
        <w:t>ROFR Notice</w:t>
      </w:r>
      <w:r>
        <w:rPr>
          <w:rFonts w:ascii="Times New Roman" w:cs="Times New Roman" w:eastAsia="Times New Roman" w:hAnsi="Times New Roman"/>
          <w:sz w:val="18"/>
          <w:szCs w:val="18"/>
          <w:color w:val="auto"/>
        </w:rPr>
        <w:t>”) to the Subscriber setting forth in reasonable detail:</w:t>
      </w:r>
    </w:p>
    <w:p>
      <w:pPr>
        <w:spacing w:after="0" w:line="161" w:lineRule="exact"/>
        <w:rPr>
          <w:sz w:val="20"/>
          <w:szCs w:val="20"/>
          <w:color w:val="auto"/>
        </w:rPr>
      </w:pPr>
    </w:p>
    <w:p>
      <w:pPr>
        <w:ind w:left="1940" w:right="500" w:firstLine="645"/>
        <w:spacing w:after="0" w:line="28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identity of the proposed purchaser of the InsuranceCo Equity Securities to be included in the Proposed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Secondary Sale (the “</w:t>
      </w:r>
      <w:r>
        <w:rPr>
          <w:rFonts w:ascii="Times New Roman" w:cs="Times New Roman" w:eastAsia="Times New Roman" w:hAnsi="Times New Roman"/>
          <w:sz w:val="18"/>
          <w:szCs w:val="18"/>
          <w:u w:val="single" w:color="auto"/>
          <w:color w:val="000000"/>
        </w:rPr>
        <w:t>ROFR Securities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the purchase price (including form of consideration) (the “</w:t>
      </w:r>
      <w:r>
        <w:rPr>
          <w:rFonts w:ascii="Times New Roman" w:cs="Times New Roman" w:eastAsia="Times New Roman" w:hAnsi="Times New Roman"/>
          <w:sz w:val="18"/>
          <w:szCs w:val="18"/>
          <w:u w:val="single" w:color="auto"/>
          <w:color w:val="000000"/>
        </w:rPr>
        <w:t>ROFR Offered Terms</w:t>
      </w:r>
      <w:r>
        <w:rPr>
          <w:rFonts w:ascii="Times New Roman" w:cs="Times New Roman" w:eastAsia="Times New Roman" w:hAnsi="Times New Roman"/>
          <w:sz w:val="18"/>
          <w:szCs w:val="18"/>
          <w:color w:val="000000"/>
        </w:rPr>
        <w:t>”);</w:t>
      </w:r>
    </w:p>
    <w:p>
      <w:pPr>
        <w:spacing w:after="0" w:line="22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10000"/>
        </w:rPr>
        <w:t xml:space="preserve">(C)             </w:t>
      </w:r>
      <w:r>
        <w:rPr>
          <w:rFonts w:ascii="Times New Roman" w:cs="Times New Roman" w:eastAsia="Times New Roman" w:hAnsi="Times New Roman"/>
          <w:sz w:val="18"/>
          <w:szCs w:val="18"/>
          <w:color w:val="000000"/>
        </w:rPr>
        <w:t>any proposed transaction documentation with respect to the Proposed Secondary Sale; and</w:t>
      </w:r>
    </w:p>
    <w:p>
      <w:pPr>
        <w:spacing w:after="0" w:line="223" w:lineRule="exact"/>
        <w:rPr>
          <w:sz w:val="20"/>
          <w:szCs w:val="20"/>
          <w:color w:val="auto"/>
        </w:rPr>
      </w:pPr>
    </w:p>
    <w:p>
      <w:pPr>
        <w:ind w:left="1940" w:right="100" w:firstLine="645"/>
        <w:spacing w:after="0" w:line="259" w:lineRule="auto"/>
        <w:rPr>
          <w:sz w:val="20"/>
          <w:szCs w:val="20"/>
          <w:color w:val="auto"/>
        </w:rPr>
      </w:pPr>
      <w:r>
        <w:rPr>
          <w:rFonts w:ascii="Times New Roman" w:cs="Times New Roman" w:eastAsia="Times New Roman" w:hAnsi="Times New Roman"/>
          <w:sz w:val="18"/>
          <w:szCs w:val="18"/>
          <w:color w:val="010000"/>
        </w:rPr>
        <w:t xml:space="preserve">(D)             </w:t>
      </w:r>
      <w:r>
        <w:rPr>
          <w:rFonts w:ascii="Times New Roman" w:cs="Times New Roman" w:eastAsia="Times New Roman" w:hAnsi="Times New Roman"/>
          <w:sz w:val="18"/>
          <w:szCs w:val="18"/>
          <w:color w:val="000000"/>
        </w:rPr>
        <w:t>such other information as the applicable ROFR Seller determines is reasonably necessary for Subscriber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evaluate the Proposed Secondary Sale, provided that Subscriber shall have the right to reasonably request any additional information to evaluate the Proposed Secondary Sale, and the ROFR Seller shall use commercially reasonable efforts to provide responsive materials to such requests.</w:t>
      </w:r>
    </w:p>
    <w:p>
      <w:pPr>
        <w:spacing w:after="0" w:line="179" w:lineRule="exact"/>
        <w:rPr>
          <w:sz w:val="20"/>
          <w:szCs w:val="20"/>
          <w:color w:val="auto"/>
        </w:rPr>
      </w:pPr>
    </w:p>
    <w:p>
      <w:pPr>
        <w:ind w:firstLine="1290"/>
        <w:spacing w:after="0" w:line="257"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Exercise of ROFR</w:t>
      </w:r>
      <w:r>
        <w:rPr>
          <w:rFonts w:ascii="Times New Roman" w:cs="Times New Roman" w:eastAsia="Times New Roman" w:hAnsi="Times New Roman"/>
          <w:sz w:val="18"/>
          <w:szCs w:val="18"/>
          <w:color w:val="auto"/>
        </w:rPr>
        <w:t>. The Subscriber shall have twenty (20) days following the receipt of the ROFR Notice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to elect, by written notice to the applicable ROFR Seller, to purchase any or all of the ROFR Securities on the same terms and conditions as set forth in the ROFR Offered Terms. If the Subscriber timely delivers such written notice of election, the parties shall be obligated to consummate the purchase and sale of the ROFR Securities in accordance with the ROFR Offered Terms within sixty (60) days following the end of the Exercise Period (or such longer time as may be required to obtain any necessary regulatory approvals or consents).</w:t>
      </w:r>
    </w:p>
    <w:p>
      <w:pPr>
        <w:spacing w:after="0" w:line="182" w:lineRule="exact"/>
        <w:rPr>
          <w:sz w:val="20"/>
          <w:szCs w:val="20"/>
          <w:color w:val="auto"/>
        </w:rPr>
      </w:pPr>
    </w:p>
    <w:p>
      <w:pPr>
        <w:ind w:right="260" w:firstLine="1290"/>
        <w:spacing w:after="0" w:line="257"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Lapse of ROFR</w:t>
      </w:r>
      <w:r>
        <w:rPr>
          <w:rFonts w:ascii="Times New Roman" w:cs="Times New Roman" w:eastAsia="Times New Roman" w:hAnsi="Times New Roman"/>
          <w:sz w:val="18"/>
          <w:szCs w:val="18"/>
          <w:color w:val="auto"/>
        </w:rPr>
        <w:t xml:space="preserve">. If the Subscriber does not elect to exercise the Right of First Refusal within the Exercise Period, or if the Subscriber does not purchase all of the ROFR Securities, the applicable ROFR Seller shall be free to consummate the Proposed Secondary Sale on terms and conditions no more favorable to the proposed purchaser than those set forth in the ROFR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Proposed Secondary Sale is consummated within ninety (90) days following the expiration of the Exercise Period. If such Proposed Secondary Sale is not consummated within such ninety (90)-day period, the ROFR Securities shall again become subject to the Right of First Refusal as set forth herein.</w:t>
      </w:r>
    </w:p>
    <w:p>
      <w:pPr>
        <w:spacing w:after="0" w:line="184" w:lineRule="exact"/>
        <w:rPr>
          <w:sz w:val="20"/>
          <w:szCs w:val="20"/>
          <w:color w:val="auto"/>
        </w:rPr>
      </w:pPr>
    </w:p>
    <w:p>
      <w:pPr>
        <w:ind w:right="60" w:firstLine="1290"/>
        <w:spacing w:after="0" w:line="264" w:lineRule="auto"/>
        <w:rPr>
          <w:sz w:val="20"/>
          <w:szCs w:val="20"/>
          <w:color w:val="auto"/>
        </w:rPr>
      </w:pPr>
      <w:r>
        <w:rPr>
          <w:rFonts w:ascii="Times New Roman" w:cs="Times New Roman" w:eastAsia="Times New Roman" w:hAnsi="Times New Roman"/>
          <w:sz w:val="18"/>
          <w:szCs w:val="18"/>
          <w:color w:val="auto"/>
        </w:rPr>
        <w:t>(v)           In the event the exercise of the Right of First Refusal would cause Subscriber to exceed the Ownership Cap (as defined in the Certificate of Designations), the Proposed Secondary Sale described in the ROFR Notice shall require the consent of a majority-in-interest of the holders of the Series A Preferred Stock.</w:t>
      </w:r>
    </w:p>
    <w:p>
      <w:pPr>
        <w:spacing w:after="0" w:line="175" w:lineRule="exact"/>
        <w:rPr>
          <w:sz w:val="20"/>
          <w:szCs w:val="20"/>
          <w:color w:val="auto"/>
        </w:rPr>
      </w:pPr>
    </w:p>
    <w:p>
      <w:pPr>
        <w:ind w:right="40" w:firstLine="1290"/>
        <w:spacing w:after="0" w:line="260"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The parties acknowledge that the Right of First Refusal is unique and that a breach of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would cause irreparable harm for which monetary damages would be an inadequate remedy. Accordingly, the Subscriber shall be entitled to seek specific performance and injunctive or other equitable relief as a remedy for any such breach, without the requirement of posting a bond or other security, and Issuer agrees to take such actions as are reasonably necessary to cause any ROFR Seller and its Affiliates to comply with the terms hereof.</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31" w:name="page32"/>
    <w:bookmarkEnd w:id="31"/>
    <w:p>
      <w:pPr>
        <w:ind w:firstLine="1290"/>
        <w:spacing w:after="0" w:line="259" w:lineRule="auto"/>
        <w:rPr>
          <w:sz w:val="20"/>
          <w:szCs w:val="20"/>
          <w:color w:val="auto"/>
        </w:rPr>
      </w:pPr>
      <w:r>
        <w:rPr>
          <w:rFonts w:ascii="Times New Roman" w:cs="Times New Roman" w:eastAsia="Times New Roman" w:hAnsi="Times New Roman"/>
          <w:sz w:val="18"/>
          <w:szCs w:val="18"/>
          <w:color w:val="auto"/>
        </w:rPr>
        <w:t xml:space="preserve">(vii)         For the avoidance of doubt, any secondary sale of InsuranceCo Equity Securities (or any rights, options, warrants or other instruments convertible into, exchangeable for or otherwise exercisable for equity interests), or any transaction having substantially similar economic effect (including through joint ventures, structured financings, synthetic equity arrangements, or issuances by Subsidiaries or Affiliates), shall be deemed to be subject to the Right of First Refusal for purposes of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5"/>
        <w:spacing w:after="0" w:line="310"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or other communication required or permitted to be given hereunder will be in writing and will be deemed to have been duly given if delivered by prepaid first-class mail, by email or other means of electronic communication or by hand-delivery and addressed as follows: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Issuer,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Howard Hughes Holdings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Joseph Valane</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generalcounsel@howardhughes.com</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250 Vesey Street</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Andrew M. Levine</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amlevine@jonesday.com</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Atlanta, Georgia 30361</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Joel T. May</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jtmay@jonesday.com</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Subscriber,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Pershing Square Holdings, Ltd.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787 Eleventh Avenue</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Chief Legal Officer</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legal@persq.com</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60"/>
          </w:cols>
          <w:pgMar w:left="320" w:top="874" w:right="41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D. Miller</w:t>
      </w:r>
    </w:p>
    <w:p>
      <w:pPr>
        <w:spacing w:after="0" w:line="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Ken Li</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millersc@sullcrom.com</w:t>
      </w:r>
    </w:p>
    <w:p>
      <w:pPr>
        <w:spacing w:after="0" w:line="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liken@sullcrom.com</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InsuranceCo,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Howard Hughes Insurance Holdings,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Joseph Valane</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generalcounsel@howardhughes.com</w:t>
      </w:r>
    </w:p>
    <w:p>
      <w:pPr>
        <w:spacing w:after="0" w:line="204" w:lineRule="exact"/>
        <w:rPr>
          <w:sz w:val="20"/>
          <w:szCs w:val="20"/>
          <w:color w:val="auto"/>
        </w:rPr>
      </w:pPr>
    </w:p>
    <w:p>
      <w:pPr>
        <w:ind w:firstLine="645"/>
        <w:spacing w:after="0" w:line="266"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Confidentiality</w:t>
      </w:r>
      <w:r>
        <w:rPr>
          <w:rFonts w:ascii="Times New Roman" w:cs="Times New Roman" w:eastAsia="Times New Roman" w:hAnsi="Times New Roman"/>
          <w:sz w:val="17"/>
          <w:szCs w:val="17"/>
          <w:color w:val="auto"/>
        </w:rPr>
        <w:t>. Each Party shall keep confidential any and all non-public information, written or oral, obtained by it in connection with the negotiation, execution, delivery and performance of this Agreement, the Certificate of Designations, or in connection with the Transaction (“</w:t>
      </w:r>
      <w:r>
        <w:rPr>
          <w:rFonts w:ascii="Times New Roman" w:cs="Times New Roman" w:eastAsia="Times New Roman" w:hAnsi="Times New Roman"/>
          <w:sz w:val="17"/>
          <w:szCs w:val="17"/>
          <w:u w:val="single" w:color="auto"/>
          <w:color w:val="auto"/>
        </w:rPr>
        <w:t>Confidential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and shall not use Confidential Information except in furtherance of its duties or performance of its obligations and exercise of its rights under this Agreement, the Certificate of Designations, or any other agreement among the Parties or disclose Confidential Information, in whole or in part, to any Person other than (i) to officers, directors, employees, agents, representatives and advisors of the Parties and their Affiliates who need to know such Confidential Information for the purpose of rendering services hereunder (“</w:t>
      </w:r>
      <w:r>
        <w:rPr>
          <w:rFonts w:ascii="Times New Roman" w:cs="Times New Roman" w:eastAsia="Times New Roman" w:hAnsi="Times New Roman"/>
          <w:sz w:val="17"/>
          <w:szCs w:val="17"/>
          <w:u w:val="single" w:color="auto"/>
          <w:color w:val="auto"/>
        </w:rPr>
        <w:t>Permitted Disclosure Parties</w:t>
      </w:r>
      <w:r>
        <w:rPr>
          <w:rFonts w:ascii="Times New Roman" w:cs="Times New Roman" w:eastAsia="Times New Roman" w:hAnsi="Times New Roman"/>
          <w:sz w:val="17"/>
          <w:szCs w:val="17"/>
          <w:color w:val="auto"/>
        </w:rPr>
        <w:t>”), (ii) as required by law, rule, regulation or legal process to which the Party or any Person to whom disclosure is permitted hereunder or (iii) otherwise with the consent of the other Parties. Each Party agrees to inform each of their Permitted Disclosure Parties of the non-public nature of the Confidential Information. Nothing herein shall prevent the Parties from disclosing Confidential Information (A) upon the order of any court or administrative agency, (B) upon the request or demand of, or pursuant to any law or regulation to, any regulatory agency or authority, (C) to the extent reasonably required in connection with the exercise of any remedy hereunder or</w:t>
      </w:r>
    </w:p>
    <w:p>
      <w:pPr>
        <w:spacing w:after="0" w:line="2" w:lineRule="exact"/>
        <w:rPr>
          <w:sz w:val="20"/>
          <w:szCs w:val="20"/>
          <w:color w:val="auto"/>
        </w:rPr>
      </w:pPr>
    </w:p>
    <w:p>
      <w:pPr>
        <w:ind w:firstLine="7"/>
        <w:spacing w:after="0" w:line="250" w:lineRule="auto"/>
        <w:tabs>
          <w:tab w:leader="none" w:pos="2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its legal counsel or independent auditors;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clauses (A) and (B), it is agreed that, so long as not legally prohibited, the Party required to disclose will promptly provide the other Parties with written notice of such order, request or demand so that the other Parties may seek, at their sole expense, an appropriate protective order and/or waive compliance with the provisions of this Agreement. Notwithstanding the foregoing, each Party shall not be required to provide notice or seek consent to disclose any Confidential Information in connection with a routine regulatory or self-regulatory examination or audit by, or blanket request from, a regulatory, self-regulatory or Governmental Entity that is not specifically targeted at the other Parties or this Agreement, or with respect to the filing of this Agreement or the Certificate of Designations with the SEC. If, failing the entry of a protective order or the receipt of a waiver hereunder, a Party is required to disclose Confidential Information, the Party may, without liability hereunder, disclose only that portion of such information that is legally required to be so disclosed;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disclosing Party agrees to exercise its reasonable best efforts to obtain reliable assurance that confidential treatment will be accorded such information. Notwithstanding any provision herein to the contrary, each of the following shall be deemed to be excluded from provisions hereof: any Confidential Information that (x) is available to the public from a source other than the Parties or (y) is obtained by the Party from a third party which, to the best of the Party’s knowledge, does not constitute a breach by such third party of an obligation of confidence with respect to the Confidential Information disclosed. The provisions of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survive the expiration or earlier termination of this Agreement for a period of one (1) year.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874" w:right="379" w:bottom="1440" w:gutter="0" w:footer="0" w:header="0"/>
        </w:sectPr>
      </w:pPr>
    </w:p>
    <w:bookmarkStart w:id="33" w:name="page34"/>
    <w:bookmarkEnd w:id="33"/>
    <w:p>
      <w:pPr>
        <w:ind w:right="100" w:firstLine="645"/>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Neither this Agreement nor any of the rights, interests or obligations under this Agreement may be assigned or delegated by any party hereto without the prior written consent of the other parties, provided that this Agreement shall be binding upon, shall inure to the benefit of, and shall be enforceable by the parties hereto and their successors and permitted assigns and the Subscriber may assign its rights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to any Person to whom the Subscriber transfers any of its shares of the Series A Preferred Stock in accordance with the terms of the Certificate of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without the consent of the other parties, the Subscriber may assign its rights, interests and obligations under this Agreement to any Affiliate of the Subscriber provided that no such assignment to an Affiliate shall relieve the Subscriber of any of its obligations under this Agreement.</w:t>
      </w:r>
    </w:p>
    <w:p>
      <w:pPr>
        <w:spacing w:after="0" w:line="185"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WILL BE GOVERNED BY AND CONSTRUED IN ACCORDANCE WITH THE INTERNAL LAWS OF THE STATE OF DELAWARE. EACH OF THE PARTIES HEREBY AGREES THAT ANY SUIT, ACTION OR PROCEEDING SEEKING TO ENFORCE ANY PROVISION OF, OR BASED ON ANY MATTER ARISING OUT OF OR IN CONNECTION WITH, THIS AGREEMENT (WHETHER BROUGHT BY ANY PARTY OR ANY OF ITS AFFILIATES OR AGAINST ANY PARTY OR ANY OF ITS AFFILIATES) SHALL BE BROUGHT IN THE COURT OF CHANCERY OF THE STATE OF DELAWARE (OR IN THE EVENT, BUT ONLY IN THE EVENT, THAT SUCH COURT DOES NOT HAVE SUBJECT MATTER JURISDICTION OVER SUCH ACTION OR PROCEEDING, THE SUPERIOR COURT OF THE STATE OF DELAWARE (COMPLEX COMMERCIAL DIVISION) OR, IF SUBJECT MATTER JURISDICTION OVER THE ACTION OR PROCEEDING IS VESTED EXCLUSIVELY IN THE FEDERAL COURTS OF THE UNITED STATES OF AMERICA, THE UNITED STATES DISTRICT COURT FOR THE DISTRICT OF DELAWARE) AND EACH OF THE PARTIES IRREVOCABLY SUBMITS TO THE JURISDICTION OF, AND VENUE IN, SUCH COURTS AND WAIVES ANY OBJECTION BASED ON FORUM NON CONVENIENS.</w:t>
      </w:r>
    </w:p>
    <w:p>
      <w:pPr>
        <w:spacing w:after="0" w:line="192" w:lineRule="exact"/>
        <w:rPr>
          <w:sz w:val="20"/>
          <w:szCs w:val="20"/>
          <w:color w:val="auto"/>
        </w:rPr>
      </w:pPr>
    </w:p>
    <w:p>
      <w:pPr>
        <w:ind w:right="160" w:firstLine="645"/>
        <w:spacing w:after="0" w:line="259"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Certain Remedies</w:t>
      </w:r>
      <w:r>
        <w:rPr>
          <w:rFonts w:ascii="Times New Roman" w:cs="Times New Roman" w:eastAsia="Times New Roman" w:hAnsi="Times New Roman"/>
          <w:sz w:val="18"/>
          <w:szCs w:val="18"/>
          <w:color w:val="auto"/>
        </w:rPr>
        <w:t>. The parties agree that irreparable damage would occur in the event that any provisions of this Agreement were not performed in accordance with their specific terms. It is accordingly agreed that each of the parties shall be entitled to an injunction or injunctions (without necessity of proving damages or posting a bond or other security) to prevent breaches of this Agreement, and to enforce specifically the terms and provisions of this Agreement, in addition to any other applicable remedies at law or equity.</w:t>
      </w:r>
    </w:p>
    <w:p>
      <w:pPr>
        <w:spacing w:after="0" w:line="181" w:lineRule="exact"/>
        <w:rPr>
          <w:sz w:val="20"/>
          <w:szCs w:val="20"/>
          <w:color w:val="auto"/>
        </w:rPr>
      </w:pPr>
    </w:p>
    <w:p>
      <w:pPr>
        <w:ind w:firstLine="645"/>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ACTIONS, SUITS, DEMAND LETTERS, JUDICIAL, ADMINISTRATIVE OR REGULATORY PROCEEDINGS, OR HEARINGS, NOTICES OF VIOLATION OR INVESTIGATIONS ARISING OUT OF OR RELATING TO THIS AGREEMENT. EACH PARTY TO THIS AGREEMENT CERTIFIES AND ACKNOWLEDGES THAT (A) SUCH PARTY HAS CONSIDERED THE IMPLICATIONS OF THIS WAIVER AND (B) SUCH PARTY MAKES THIS WAIVER VOLUNTARILY.</w:t>
      </w:r>
    </w:p>
    <w:p>
      <w:pPr>
        <w:spacing w:after="0" w:line="186"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Interpretation; Headings</w:t>
      </w:r>
      <w:r>
        <w:rPr>
          <w:rFonts w:ascii="Times New Roman" w:cs="Times New Roman" w:eastAsia="Times New Roman" w:hAnsi="Times New Roman"/>
          <w:sz w:val="18"/>
          <w:szCs w:val="18"/>
          <w:color w:val="auto"/>
        </w:rPr>
        <w:t>. The parties hereto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headings contained in this Agreement are for reference purposes only and shall not affect in any way the meaning or interpretation of this Agreement. Unless the context otherwise requires, as used in this Agreement: (i) “or” shall mean “and/or”; (ii) “including” and its variants mean “including, without limitation” and its variants;</w:t>
      </w:r>
    </w:p>
    <w:p>
      <w:pPr>
        <w:spacing w:after="0" w:line="3" w:lineRule="exact"/>
        <w:rPr>
          <w:sz w:val="20"/>
          <w:szCs w:val="20"/>
          <w:color w:val="auto"/>
        </w:rPr>
      </w:pPr>
    </w:p>
    <w:p>
      <w:pPr>
        <w:jc w:val="both"/>
        <w:ind w:right="520" w:firstLine="7"/>
        <w:spacing w:after="0" w:line="253" w:lineRule="auto"/>
        <w:tabs>
          <w:tab w:leader="none" w:pos="3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defined in the singular have the parallel meaning in the plural and vice versa; (iv) references to “written” or “in writing” include in visual electronic form; (v) words of one gender shall be construed to apply to each gender; and (vi) the term “Section” refers to the specified Section of this Agreement.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874" w:right="379" w:bottom="1440" w:gutter="0" w:footer="0" w:header="0"/>
        </w:sectPr>
      </w:pPr>
    </w:p>
    <w:bookmarkStart w:id="34" w:name="page35"/>
    <w:bookmarkEnd w:id="34"/>
    <w:p>
      <w:pPr>
        <w:ind w:right="140" w:firstLine="645"/>
        <w:spacing w:after="0" w:line="259"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Certificate of Designations, the Equity Commitment Letter and the Registration Rights Agreement constitute the entire agreement of the parties and their Affiliates with respect to the subject matter of this Agreement and supersede all prior and contemporaneous agreements, arrangements or understandings, whether written or oral, among the parties and their Affiliates with respect to the subject matter of this Agreement.</w:t>
      </w:r>
    </w:p>
    <w:p>
      <w:pPr>
        <w:spacing w:after="0" w:line="181" w:lineRule="exact"/>
        <w:rPr>
          <w:sz w:val="20"/>
          <w:szCs w:val="20"/>
          <w:color w:val="auto"/>
        </w:rPr>
      </w:pPr>
    </w:p>
    <w:p>
      <w:pPr>
        <w:ind w:right="40" w:firstLine="645"/>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spacing w:after="0" w:line="185"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xml:space="preserve">. All costs and expenses, including fees and disbursements of counsel, financial advisers and accountants, incurred in connection with this Agreement and the Transaction shall be paid by the Person incurring such costs and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shall bear all reasonable and documented out-of-pocket expenses incurred by the Subscriber or any Affiliate thereof in connection with the Transaction, all of which shall be attributed to this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 notwithstanding any other agreement between the Issuer and the Subscriber or any Affiliate thereof, up to a maximum of $4,500,000 (the “</w:t>
      </w:r>
      <w:r>
        <w:rPr>
          <w:rFonts w:ascii="Times New Roman" w:cs="Times New Roman" w:eastAsia="Times New Roman" w:hAnsi="Times New Roman"/>
          <w:sz w:val="18"/>
          <w:szCs w:val="18"/>
          <w:u w:val="single" w:color="auto"/>
          <w:color w:val="auto"/>
        </w:rPr>
        <w:t>Expense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this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 xml:space="preserve"> shall have no impact on expenses incurred by the Subscriber or its Affiliates and reimbursable pursuant to other agreements between Subscriber or its Affiliates, on one hand, and Issuer or its Affiliates, on the other hand, in connection with the Acquisition as a series of transactions distinct from the Transaction (e.g., costs relating to the acquisition of Vantage Group Holdings Ltd. as opposed to costs relating to the purchase of Series A Preferred Stock). Notwithstanding the foregoing, expenses incurred by the Subscriber or any Affiliate thereof in connection with participating in or facilitating the Issuer’s or InsuranceCo’s regulatory filings shall not count towards the Expense Cap.</w:t>
      </w:r>
    </w:p>
    <w:p>
      <w:pPr>
        <w:spacing w:after="0" w:line="186" w:lineRule="exact"/>
        <w:rPr>
          <w:sz w:val="20"/>
          <w:szCs w:val="20"/>
          <w:color w:val="auto"/>
        </w:rPr>
      </w:pPr>
    </w:p>
    <w:p>
      <w:pPr>
        <w:ind w:right="40" w:firstLine="645"/>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Waivers and Amendments of this Agreement</w:t>
      </w:r>
      <w:r>
        <w:rPr>
          <w:rFonts w:ascii="Times New Roman" w:cs="Times New Roman" w:eastAsia="Times New Roman" w:hAnsi="Times New Roman"/>
          <w:sz w:val="18"/>
          <w:szCs w:val="18"/>
          <w:color w:val="auto"/>
        </w:rPr>
        <w:t>. This Agreement may be amended, modified, superseded, cancelled, renewed or extended, and the terms and conditions of this Agreement may be waived, only by a written instrument signed by the parties hereto or, in the case of a waiver, by the party hereto waiving compliance. No delay on the part of any party in exercising any right, power or privilege pursuant to this Agreement shall operate as a waiver thereof, nor shall any waiver on the part of any party of any right, power or privilege pursuant to this Agreement, nor shall any single or partial exercise of any right, power or privilege pursuant to this Agreement, preclude any other or further exercise thereof or the exercise of any other right, power or privilege pursuant to this Agreement. The rights and remedies provided pursuant to this Agreement are cumulative and are not exclusive of any rights or remedies which any party otherwise may have at law or in equity.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874" w:right="359" w:bottom="1440" w:gutter="0" w:footer="0" w:header="0"/>
        </w:sectPr>
      </w:pPr>
    </w:p>
    <w:bookmarkStart w:id="35" w:name="page36"/>
    <w:bookmarkEnd w:id="35"/>
    <w:p>
      <w:pPr>
        <w:ind w:right="60" w:firstLine="645"/>
        <w:spacing w:after="0" w:line="25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Investigations</w:t>
      </w:r>
      <w:r>
        <w:rPr>
          <w:rFonts w:ascii="Times New Roman" w:cs="Times New Roman" w:eastAsia="Times New Roman" w:hAnsi="Times New Roman"/>
          <w:sz w:val="18"/>
          <w:szCs w:val="18"/>
          <w:color w:val="auto"/>
        </w:rPr>
        <w:t>. The respective agreements, representations, warranties and other statements of the Issuer, the Subscriber and InsuranceCo, as set forth in this Agreement or made by or on behalf of them, respectively, pursuant to this Agreement, shall remain in full force and effect, regardless of any investigation (or any statement as to the results thereof) made by or on behalf of the Subscriber or any controlling Person of the Subscriber, or the Issuer, or any officer or director or controlling Person of the Issuer, or InsuranceCo, or any officer or director or controlling Person of InsuranceCo and shall survive delivery of and payment for the Purchased Shares.</w:t>
      </w:r>
    </w:p>
    <w:p>
      <w:pPr>
        <w:spacing w:after="0" w:line="186" w:lineRule="exact"/>
        <w:rPr>
          <w:sz w:val="20"/>
          <w:szCs w:val="20"/>
          <w:color w:val="auto"/>
        </w:rPr>
      </w:pPr>
    </w:p>
    <w:p>
      <w:pPr>
        <w:ind w:firstLine="645"/>
        <w:spacing w:after="0" w:line="264"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all of which shall be considered one and the same agreement and shall become effective when counterparts have been signed by each of the parties and delivered to the other party (including via email or other electronic transmission), it being understood that each party need not sign the same counterpart.</w:t>
      </w:r>
    </w:p>
    <w:p>
      <w:pPr>
        <w:spacing w:after="0" w:line="177" w:lineRule="exact"/>
        <w:rPr>
          <w:sz w:val="20"/>
          <w:szCs w:val="20"/>
          <w:color w:val="auto"/>
        </w:rPr>
      </w:pPr>
    </w:p>
    <w:p>
      <w:pPr>
        <w:ind w:right="160" w:firstLine="645"/>
        <w:spacing w:after="0" w:line="271" w:lineRule="auto"/>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Upon the terms and subject to the conditions herein, each of the parties hereto agrees to use commercially reasonable efforts to take or cause to be taken all action, and to do or cause to be done, and to assist and cooperate with the other party in doing, all things necessary, proper or advisable under applicable Laws or otherwise to consummate and make effective the transactions contemplated by this Agreement. Within thirty</w:t>
      </w:r>
    </w:p>
    <w:p>
      <w:pPr>
        <w:spacing w:after="0" w:line="1" w:lineRule="exact"/>
        <w:rPr>
          <w:sz w:val="20"/>
          <w:szCs w:val="20"/>
          <w:color w:val="auto"/>
        </w:rPr>
      </w:pPr>
    </w:p>
    <w:p>
      <w:pPr>
        <w:ind w:right="120" w:firstLine="7"/>
        <w:spacing w:after="0" w:line="258" w:lineRule="auto"/>
        <w:tabs>
          <w:tab w:leader="none" w:pos="3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hereof, the Subscriber shall deliver to the Issuer and InsuranceCo a duly completed and signed applicable IRS Form W-8 from each of Subscriber and any designee(s) who are issued Purchased Shares in accordance with this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6" w:name="page37"/>
    <w:bookmarkEnd w:id="36"/>
    <w:p>
      <w:pPr>
        <w:ind w:left="180"/>
        <w:spacing w:after="0"/>
        <w:rPr>
          <w:sz w:val="20"/>
          <w:szCs w:val="20"/>
          <w:color w:val="auto"/>
        </w:rPr>
      </w:pPr>
      <w:r>
        <w:rPr>
          <w:rFonts w:ascii="Times New Roman" w:cs="Times New Roman" w:eastAsia="Times New Roman" w:hAnsi="Times New Roman"/>
          <w:sz w:val="18"/>
          <w:szCs w:val="18"/>
          <w:color w:val="auto"/>
        </w:rPr>
        <w:t>IN WITNESS WHEREOF, this Agreement is executed as of the date first written above.</w:t>
      </w: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HOWARD HUGHES HOLDINGS INC.</w:t>
      </w:r>
    </w:p>
    <w:p>
      <w:pPr>
        <w:spacing w:after="0" w:line="22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16510</wp:posOffset>
            </wp:positionV>
            <wp:extent cx="33445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O’Reilly</w:t>
      </w:r>
    </w:p>
    <w:p>
      <w:pPr>
        <w:spacing w:after="0" w:line="35"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PERSHING SQUARE HOLDINGS, LTD.</w:t>
      </w:r>
    </w:p>
    <w:p>
      <w:pPr>
        <w:spacing w:after="0" w:line="22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16510</wp:posOffset>
            </wp:positionV>
            <wp:extent cx="33445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Rupert Morley</w:t>
      </w:r>
    </w:p>
    <w:p>
      <w:pPr>
        <w:spacing w:after="0" w:line="35"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HOWARD HUGHES INSURANCE HOLDINGS, LLC</w:t>
      </w:r>
    </w:p>
    <w:p>
      <w:pPr>
        <w:spacing w:after="0" w:line="23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16510</wp:posOffset>
            </wp:positionV>
            <wp:extent cx="33445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O’Reilly</w:t>
      </w:r>
    </w:p>
    <w:p>
      <w:pPr>
        <w:spacing w:after="0" w:line="35"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427355</wp:posOffset>
            </wp:positionV>
            <wp:extent cx="71329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37" w:name="page38"/>
    <w:bookmarkEnd w:id="37"/>
    <w:p>
      <w:pPr>
        <w:jc w:val="center"/>
        <w:ind w:right="-467"/>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3" w:lineRule="exact"/>
        <w:rPr>
          <w:sz w:val="20"/>
          <w:szCs w:val="20"/>
          <w:color w:val="auto"/>
        </w:rPr>
      </w:pPr>
    </w:p>
    <w:p>
      <w:pPr>
        <w:jc w:val="center"/>
        <w:ind w:right="-467"/>
        <w:spacing w:after="0"/>
        <w:rPr>
          <w:sz w:val="20"/>
          <w:szCs w:val="20"/>
          <w:color w:val="auto"/>
        </w:rPr>
      </w:pPr>
      <w:r>
        <w:rPr>
          <w:rFonts w:ascii="Times New Roman" w:cs="Times New Roman" w:eastAsia="Times New Roman" w:hAnsi="Times New Roman"/>
          <w:sz w:val="17"/>
          <w:szCs w:val="17"/>
          <w:b w:val="1"/>
          <w:bCs w:val="1"/>
          <w:color w:val="auto"/>
        </w:rPr>
        <w:t>ISSUER KNOWLEDGE PARTIES</w:t>
      </w:r>
    </w:p>
    <w:p>
      <w:pPr>
        <w:spacing w:after="0" w:line="42" w:lineRule="exact"/>
        <w:rPr>
          <w:sz w:val="20"/>
          <w:szCs w:val="20"/>
          <w:color w:val="auto"/>
        </w:rPr>
      </w:pPr>
    </w:p>
    <w:p>
      <w:pPr>
        <w:jc w:val="center"/>
        <w:ind w:right="-487"/>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48" w:hanging="648"/>
        <w:spacing w:after="0"/>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Carlos Olea</w:t>
      </w:r>
    </w:p>
    <w:p>
      <w:pPr>
        <w:spacing w:after="0" w:line="204"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O’Reilly</w:t>
      </w:r>
    </w:p>
    <w:p>
      <w:pPr>
        <w:spacing w:after="0" w:line="222"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Valane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426085</wp:posOffset>
            </wp:positionV>
            <wp:extent cx="71329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87"/>
          </w:cols>
          <w:pgMar w:left="972" w:top="870" w:right="1440" w:bottom="1440" w:gutter="0" w:footer="0" w:header="0"/>
        </w:sectPr>
      </w:pPr>
    </w:p>
    <w:bookmarkStart w:id="38" w:name="page39"/>
    <w:bookmarkEnd w:id="38"/>
    <w:p>
      <w:pPr>
        <w:jc w:val="center"/>
        <w:ind w:right="-447"/>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3"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b w:val="1"/>
          <w:bCs w:val="1"/>
          <w:color w:val="auto"/>
        </w:rPr>
        <w:t>INSURANCECO KNOWLEDGE PARTIES</w:t>
      </w:r>
    </w:p>
    <w:p>
      <w:pPr>
        <w:spacing w:after="0" w:line="227" w:lineRule="exact"/>
        <w:rPr>
          <w:sz w:val="20"/>
          <w:szCs w:val="20"/>
          <w:color w:val="auto"/>
        </w:rPr>
      </w:pPr>
    </w:p>
    <w:p>
      <w:pPr>
        <w:ind w:left="648" w:hanging="648"/>
        <w:spacing w:after="0"/>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Carlos Olea</w:t>
      </w:r>
    </w:p>
    <w:p>
      <w:pPr>
        <w:spacing w:after="0" w:line="222"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O’Reilly</w:t>
      </w:r>
    </w:p>
    <w:p>
      <w:pPr>
        <w:spacing w:after="0" w:line="222"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Valane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426085</wp:posOffset>
            </wp:positionV>
            <wp:extent cx="71329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87"/>
          </w:cols>
          <w:pgMar w:left="972" w:top="870"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Adequate Reserves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4(a)(xx)(A)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20"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particular Person means any other Person controlling, controlled by or under common control with such particular Person. For the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the management and policies of a Person whether through the ownership of voting securities, contract or otherwise.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thereto in the Preamble.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Issuer.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4(a)(xv)(A)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lease, license, evidence of indebtedness, mortgage, indenture, security agreement or other contract.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4(a)(xx)(A)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4(a)(xiv)</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Commitment</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3"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successor federal statute, and the rules and regulations of the SEC promulgated thereunder, all as the same may be amended and shall be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Notice</w:t>
      </w:r>
      <w:r>
        <w:rPr>
          <w:rFonts w:ascii="Times New Roman" w:cs="Times New Roman" w:eastAsia="Times New Roman" w:hAnsi="Times New Roman"/>
          <w:sz w:val="18"/>
          <w:szCs w:val="18"/>
          <w:color w:val="auto"/>
        </w:rPr>
        <w:t>” means “Exchange Notice” as defined in the Certificate of Designations.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5(c)(iii)</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Cap</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3" w:lineRule="exact"/>
        <w:rPr>
          <w:sz w:val="20"/>
          <w:szCs w:val="20"/>
          <w:color w:val="auto"/>
        </w:rPr>
      </w:pPr>
    </w:p>
    <w:p>
      <w:pPr>
        <w:ind w:right="100" w:firstLine="64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(i) nation, region, state, province, county, city, town, village, district or other jurisdiction, (ii) federal, state, local, municipal, foreign or other government, (iii) governmental or quasi-governmental authority of any nature (including any governmental agency, branch, department, court or tribunal, or other entity), (iv) multinational organization or body or (v) body entitled to exercise any administrative, executive, judicial, legislative, police, regulatory or taxing authority or power of any nature or any other self-regulatory organizations.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0" w:right="359"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4(a)(xiv)</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45"/>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with respect to a Person without duplication, (a) all indebtedness of such Person for borrowed money, (b) all obligations of such Person for the deferred purchase price of property (other than trade payables and accrued expenses incurred in the ordinary course of such Person’s business), (c) all obligations of such Person evidenced by notes, bonds, debentures or other similar instruments, trust preferred shares, trust preferred units and other preference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in respect of capital leases under GAAP of such Person, (f) all obligations of such Person, contingent or otherwise, as an account party or applicant under acceptance, letter of credit, surety bond or similar facilities, (g) the monetary obligations of a Person under</w:t>
      </w:r>
    </w:p>
    <w:p>
      <w:pPr>
        <w:spacing w:after="0" w:line="1" w:lineRule="exact"/>
        <w:rPr>
          <w:sz w:val="20"/>
          <w:szCs w:val="20"/>
          <w:color w:val="auto"/>
        </w:rPr>
      </w:pPr>
    </w:p>
    <w:p>
      <w:pPr>
        <w:ind w:right="180" w:firstLine="7"/>
        <w:spacing w:after="0" w:line="263" w:lineRule="auto"/>
        <w:tabs>
          <w:tab w:leader="none" w:pos="25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so-called synthetic, off-balance sheet or tax retention lease, or (y)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(h) guaranties of such Person with respect to obligations of the type described in clauses (a) through</w:t>
      </w:r>
    </w:p>
    <w:p>
      <w:pPr>
        <w:spacing w:after="0" w:line="2" w:lineRule="exact"/>
        <w:rPr>
          <w:rFonts w:ascii="Times New Roman" w:cs="Times New Roman" w:eastAsia="Times New Roman" w:hAnsi="Times New Roman"/>
          <w:sz w:val="17"/>
          <w:szCs w:val="17"/>
          <w:color w:val="auto"/>
        </w:rPr>
      </w:pPr>
    </w:p>
    <w:p>
      <w:pPr>
        <w:ind w:right="20" w:firstLine="7"/>
        <w:spacing w:after="0" w:line="252" w:lineRule="auto"/>
        <w:tabs>
          <w:tab w:leader="none" w:pos="2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 all obligations of other Persons of the kind referred to in clauses (a) through (h) above secured by any Lien on property owned by such Person, whether or not such Person has assumed or become liable for the payment of such obligation, (j) the net obligations of such Person in respect of hedge agreements and swaps and (k) any obligation that, in accordance with GAAP, would be required to be reflected as debt on the consolidated balance sheet of such Person.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has the meaning assigned thereto in the Preamble.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means, as applicable at such time, either the membership interests or the common units of InsuranceCo.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Disclosure Letter</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Equity Securities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4(c)(iv)</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assigned thereto in the Preamble.</w:t>
      </w:r>
    </w:p>
    <w:p>
      <w:pPr>
        <w:spacing w:after="0" w:line="223" w:lineRule="exact"/>
        <w:rPr>
          <w:sz w:val="20"/>
          <w:szCs w:val="20"/>
          <w:color w:val="auto"/>
        </w:rPr>
      </w:pPr>
    </w:p>
    <w:p>
      <w:pPr>
        <w:ind w:firstLine="64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Benefit Plan</w:t>
      </w:r>
      <w:r>
        <w:rPr>
          <w:rFonts w:ascii="Times New Roman" w:cs="Times New Roman" w:eastAsia="Times New Roman" w:hAnsi="Times New Roman"/>
          <w:sz w:val="18"/>
          <w:szCs w:val="18"/>
          <w:color w:val="auto"/>
        </w:rPr>
        <w:t>” means each “employee benefit plan” within the meaning of Section 3(3) of ERISA and each other stock purchase, stock option, restricted stock, severance, retention, employment, consulting, change-of-control, collective bargaining, bonus, incentive, deferred compensation, employee stock purchase plan, employee loan, fringe benefit and other benefit plan, agreement, program, policy, commitment or other arrangement, whether or not subject to ERISA (including any related funding mechanism now in effect or required in the future), whether formal or informal, oral or written, in each case sponsored or maintained by the Issuer or any of the Issuer Subsidiaries for the benefit of any past or present director, officer, employee, consultant or independent contractor of the Issuer or any of the Issuer Subsidiaries has any present or future right to benefits.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Disclosure Letter</w:t>
      </w:r>
      <w:r>
        <w:rPr>
          <w:rFonts w:ascii="Times New Roman" w:cs="Times New Roman" w:eastAsia="Times New Roman" w:hAnsi="Times New Roman"/>
          <w:sz w:val="18"/>
          <w:szCs w:val="18"/>
          <w:color w:val="auto"/>
        </w:rPr>
        <w:t xml:space="preserve">” has the meaning assigned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Equity Securities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4(a)(iv)</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Foreign Plan</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4(a)(xv)(C)</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64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Ground Lease Property</w:t>
      </w:r>
      <w:r>
        <w:rPr>
          <w:rFonts w:ascii="Times New Roman" w:cs="Times New Roman" w:eastAsia="Times New Roman" w:hAnsi="Times New Roman"/>
          <w:sz w:val="18"/>
          <w:szCs w:val="18"/>
          <w:color w:val="auto"/>
        </w:rPr>
        <w:t>” means any Issuer Property having a fair market value (in the reasonable determination of the Issuer) in excess of $25,000,000 which is leased by a Subsidiary of the Issuer as tenant pursuant to a ground lease.</w:t>
      </w:r>
    </w:p>
    <w:p>
      <w:pPr>
        <w:spacing w:after="0" w:line="162" w:lineRule="exact"/>
        <w:rPr>
          <w:sz w:val="20"/>
          <w:szCs w:val="20"/>
          <w:color w:val="auto"/>
        </w:rPr>
      </w:pPr>
    </w:p>
    <w:p>
      <w:pPr>
        <w:ind w:right="220" w:firstLine="64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Mortgage Loans</w:t>
      </w:r>
      <w:r>
        <w:rPr>
          <w:rFonts w:ascii="Times New Roman" w:cs="Times New Roman" w:eastAsia="Times New Roman" w:hAnsi="Times New Roman"/>
          <w:sz w:val="18"/>
          <w:szCs w:val="18"/>
          <w:color w:val="auto"/>
        </w:rPr>
        <w:t>” means all loans and other indebtedness secured by a mortgage, deed of trust, deed to secure debt or indemnity deed of trust in Issuer Property.</w:t>
      </w:r>
    </w:p>
    <w:p>
      <w:pPr>
        <w:spacing w:after="0" w:line="162" w:lineRule="exact"/>
        <w:rPr>
          <w:sz w:val="20"/>
          <w:szCs w:val="20"/>
          <w:color w:val="auto"/>
        </w:rPr>
      </w:pPr>
    </w:p>
    <w:p>
      <w:pPr>
        <w:ind w:right="40" w:firstLine="64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Non-Controlling Property</w:t>
      </w:r>
      <w:r>
        <w:rPr>
          <w:rFonts w:ascii="Times New Roman" w:cs="Times New Roman" w:eastAsia="Times New Roman" w:hAnsi="Times New Roman"/>
          <w:sz w:val="18"/>
          <w:szCs w:val="18"/>
          <w:color w:val="auto"/>
        </w:rPr>
        <w:t>” means an Issuer Property that is owned by a Joint Venture in which neither the Issuer nor any Issuer Subsidiary is a controlling entity. For purposes of this definition, the term “control” shall mean, possession, directly or indirectly, of the power to direct the management and policies of a Person whether through the ownership of voting securities, contract or otherwise; provided, however, that the rights of any Person to exercise Major Decision Rights under a Joint Venture shall not constitute or be deemed to constitute “control” for the purposes hereof. For purposes of this definition, the term “Major Decision Rights” shall mean, the right to, directly or indirectly, approve, consent to, veto or exercise a vote in connection with a Person’s voting or other decision-making authority in respect of the collective rights, options, elections or obligations of such Person under the governing documents of a Joint Venture.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Payment Obligations</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Properties</w:t>
      </w:r>
      <w:r>
        <w:rPr>
          <w:rFonts w:ascii="Times New Roman" w:cs="Times New Roman" w:eastAsia="Times New Roman" w:hAnsi="Times New Roman"/>
          <w:sz w:val="18"/>
          <w:szCs w:val="18"/>
          <w:color w:val="auto"/>
        </w:rPr>
        <w:t>” means, where context requires, all Issuer Properties collectively.</w:t>
      </w:r>
    </w:p>
    <w:p>
      <w:pPr>
        <w:spacing w:after="0" w:line="223" w:lineRule="exact"/>
        <w:rPr>
          <w:sz w:val="20"/>
          <w:szCs w:val="20"/>
          <w:color w:val="auto"/>
        </w:rPr>
      </w:pPr>
    </w:p>
    <w:p>
      <w:pPr>
        <w:ind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Property</w:t>
      </w:r>
      <w:r>
        <w:rPr>
          <w:rFonts w:ascii="Times New Roman" w:cs="Times New Roman" w:eastAsia="Times New Roman" w:hAnsi="Times New Roman"/>
          <w:sz w:val="18"/>
          <w:szCs w:val="18"/>
          <w:color w:val="auto"/>
        </w:rPr>
        <w:t>” means an individual material real property asset owned or leased (as lessee), directly or indirectly, in whole or in part, by the Issuer and/or any Issuer Subsidiary that is not an Issuer Non-Controlling Property and has a fair market value (in the reasonable determination of the Issuer) in excess of $25,000,000.</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SEC Reports</w:t>
      </w:r>
      <w:r>
        <w:rPr>
          <w:rFonts w:ascii="Times New Roman" w:cs="Times New Roman" w:eastAsia="Times New Roman" w:hAnsi="Times New Roman"/>
          <w:sz w:val="18"/>
          <w:szCs w:val="18"/>
          <w:color w:val="auto"/>
        </w:rPr>
        <w:t>” has the meaning assigned thereto in Section‎ 4(a)(viii)(A).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-8255</wp:posOffset>
            </wp:positionV>
            <wp:extent cx="937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Subsidiary</w:t>
      </w:r>
      <w:r>
        <w:rPr>
          <w:rFonts w:ascii="Times New Roman" w:cs="Times New Roman" w:eastAsia="Times New Roman" w:hAnsi="Times New Roman"/>
          <w:sz w:val="18"/>
          <w:szCs w:val="18"/>
          <w:color w:val="auto"/>
        </w:rPr>
        <w:t>” means any Subsidiary of Issuer, other than InsuranceCo and InsuranceCo’s direct and indirect Subsidiaries.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 Subsidiary of the Issuer which is owned partly by another Subsidiary of the Issuer and partly by a third party.</w:t>
      </w:r>
    </w:p>
    <w:p>
      <w:pPr>
        <w:spacing w:after="0" w:line="223" w:lineRule="exact"/>
        <w:rPr>
          <w:sz w:val="20"/>
          <w:szCs w:val="20"/>
          <w:color w:val="auto"/>
        </w:rPr>
      </w:pPr>
    </w:p>
    <w:p>
      <w:pPr>
        <w:ind w:right="520" w:firstLine="645"/>
        <w:spacing w:after="0" w:line="31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w:t>
      </w:r>
      <w:r>
        <w:rPr>
          <w:rFonts w:ascii="Times New Roman" w:cs="Times New Roman" w:eastAsia="Times New Roman" w:hAnsi="Times New Roman"/>
          <w:sz w:val="17"/>
          <w:szCs w:val="17"/>
          <w:color w:val="auto"/>
        </w:rPr>
        <w:t xml:space="preserve">” of (x) the Issuer means the actual knowledge, as of the date of this Agreement, of the individuals listed in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to this Agreement; (y) InsuranceCo means the actual knowledge, as of the date of this Agreement, of the individuals listed in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 xml:space="preserve"> to this Agreement.</w:t>
      </w:r>
    </w:p>
    <w:p>
      <w:pPr>
        <w:spacing w:after="0" w:line="140" w:lineRule="exact"/>
        <w:rPr>
          <w:sz w:val="20"/>
          <w:szCs w:val="20"/>
          <w:color w:val="auto"/>
        </w:rPr>
      </w:pPr>
    </w:p>
    <w:p>
      <w:pPr>
        <w:ind w:right="240" w:firstLine="64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statutes, laws (including common law), rules, ordinances, regulations, codes, orders, judgments, decisions, injunctions, writs, decrees, applicable to the Issuer, the Subscriber or any of their respective Affiliates, as applicable, or their respective properties or assets.</w:t>
      </w:r>
    </w:p>
    <w:p>
      <w:pPr>
        <w:spacing w:after="0" w:line="162" w:lineRule="exact"/>
        <w:rPr>
          <w:sz w:val="20"/>
          <w:szCs w:val="20"/>
          <w:color w:val="auto"/>
        </w:rPr>
      </w:pPr>
    </w:p>
    <w:p>
      <w:pPr>
        <w:ind w:right="100" w:firstLine="64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encumbrance or other adverse claim of any kind, charge, deed of trust, assignment, hypothecation, transfer restriction, adverse claim, option, right of first offer, right of first refusal, condition, conditional title agreement, title retention agreement, title defect (or similar irregularity), lease, sublease, license, easement, encroachment rights of way or other encumbrance or restriction of similar nature in respect of such property or asset.</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874" w:right="39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event or occurrence that:</w:t>
      </w:r>
    </w:p>
    <w:p>
      <w:pPr>
        <w:spacing w:after="0" w:line="223" w:lineRule="exact"/>
        <w:rPr>
          <w:sz w:val="20"/>
          <w:szCs w:val="20"/>
          <w:color w:val="auto"/>
        </w:rPr>
      </w:pPr>
    </w:p>
    <w:p>
      <w:pPr>
        <w:ind w:right="140" w:firstLine="645"/>
        <w:spacing w:after="0" w:line="280" w:lineRule="auto"/>
        <w:rPr>
          <w:sz w:val="20"/>
          <w:szCs w:val="20"/>
          <w:color w:val="auto"/>
        </w:rPr>
      </w:pPr>
      <w:r>
        <w:rPr>
          <w:rFonts w:ascii="Times New Roman" w:cs="Times New Roman" w:eastAsia="Times New Roman" w:hAnsi="Times New Roman"/>
          <w:sz w:val="18"/>
          <w:szCs w:val="18"/>
          <w:color w:val="auto"/>
        </w:rPr>
        <w:t>(i)             has a material adverse effect on the business, results of operations or financial condition of the Issuer or InsuranceCo, as applicable, and its direct and indirect Subsidiaries taken as a whole, other than changes, events or occurrences arising out of, resulting from or attributable to:</w:t>
      </w:r>
    </w:p>
    <w:p>
      <w:pPr>
        <w:spacing w:after="0" w:line="162" w:lineRule="exact"/>
        <w:rPr>
          <w:sz w:val="20"/>
          <w:szCs w:val="20"/>
          <w:color w:val="auto"/>
        </w:rPr>
      </w:pPr>
    </w:p>
    <w:p>
      <w:pPr>
        <w:ind w:left="1300" w:right="120"/>
        <w:spacing w:after="0" w:line="264" w:lineRule="auto"/>
        <w:rPr>
          <w:sz w:val="20"/>
          <w:szCs w:val="20"/>
          <w:color w:val="auto"/>
        </w:rPr>
      </w:pPr>
      <w:r>
        <w:rPr>
          <w:rFonts w:ascii="Times New Roman" w:cs="Times New Roman" w:eastAsia="Times New Roman" w:hAnsi="Times New Roman"/>
          <w:sz w:val="18"/>
          <w:szCs w:val="18"/>
          <w:color w:val="auto"/>
        </w:rPr>
        <w:t>(1)            any change, development, event or occurrence arising out of or relating to economic conditions generally or capital and financial markets generally, including (A) changes in interest or exchange rates and corresponding changes in the value of the investment assets of Issuer and its Subsidiaries resulting therefrom, and (B) the impact of increased tariffs and trade disruptions,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any change, development, event or occurrence affecting the industry in which the Issuer and its Subsidiaries operate,</w:t>
      </w:r>
    </w:p>
    <w:p>
      <w:pPr>
        <w:spacing w:after="0" w:line="223" w:lineRule="exact"/>
        <w:rPr>
          <w:sz w:val="20"/>
          <w:szCs w:val="20"/>
          <w:color w:val="auto"/>
        </w:rPr>
      </w:pPr>
    </w:p>
    <w:p>
      <w:pPr>
        <w:ind w:left="1300" w:right="60"/>
        <w:spacing w:after="0" w:line="280" w:lineRule="auto"/>
        <w:rPr>
          <w:sz w:val="20"/>
          <w:szCs w:val="20"/>
          <w:color w:val="auto"/>
        </w:rPr>
      </w:pPr>
      <w:r>
        <w:rPr>
          <w:rFonts w:ascii="Times New Roman" w:cs="Times New Roman" w:eastAsia="Times New Roman" w:hAnsi="Times New Roman"/>
          <w:sz w:val="18"/>
          <w:szCs w:val="18"/>
          <w:color w:val="auto"/>
        </w:rPr>
        <w:t>(3)            changes in Law or regulation or in generally accepted accounting principles or in accounting standards, or changes in general legal, regulatory or political conditions applicable to the Issuer or InsuranceCo, as applicable;</w:t>
      </w:r>
    </w:p>
    <w:p>
      <w:pPr>
        <w:spacing w:after="0" w:line="162" w:lineRule="exact"/>
        <w:rPr>
          <w:sz w:val="20"/>
          <w:szCs w:val="20"/>
          <w:color w:val="auto"/>
        </w:rPr>
      </w:pPr>
    </w:p>
    <w:p>
      <w:pPr>
        <w:ind w:left="1300"/>
        <w:spacing w:after="0" w:line="275" w:lineRule="auto"/>
        <w:rPr>
          <w:sz w:val="20"/>
          <w:szCs w:val="20"/>
          <w:color w:val="auto"/>
        </w:rPr>
      </w:pPr>
      <w:r>
        <w:rPr>
          <w:rFonts w:ascii="Times New Roman" w:cs="Times New Roman" w:eastAsia="Times New Roman" w:hAnsi="Times New Roman"/>
          <w:sz w:val="17"/>
          <w:szCs w:val="17"/>
          <w:color w:val="auto"/>
        </w:rPr>
        <w:t>(4)            the negotiation, execution, announcement or performance of any agreement between the Issuer and/or its Affiliates or InsuranceCo and/or its Affiliates, as applicable, on the one hand, and the Subscriber and/or its Affiliates, on the other hand, or the consummation of the Transaction contemplated hereby, including the impact thereof on relationships, contractual or otherwise, with tenants, customers, suppliers, distributors, partners or employees, or any litigation or claims arising from allegations of breach of fiduciary duty or violation of Law or otherwise, related to the execution or performance of this Agreement or the Transaction contemplated hereby;</w:t>
      </w:r>
    </w:p>
    <w:p>
      <w:pPr>
        <w:spacing w:after="0" w:line="170" w:lineRule="exact"/>
        <w:rPr>
          <w:sz w:val="20"/>
          <w:szCs w:val="20"/>
          <w:color w:val="auto"/>
        </w:rPr>
      </w:pPr>
    </w:p>
    <w:p>
      <w:pPr>
        <w:ind w:left="1300" w:right="500"/>
        <w:spacing w:after="0" w:line="280" w:lineRule="auto"/>
        <w:rPr>
          <w:sz w:val="20"/>
          <w:szCs w:val="20"/>
          <w:color w:val="auto"/>
        </w:rPr>
      </w:pPr>
      <w:r>
        <w:rPr>
          <w:rFonts w:ascii="Times New Roman" w:cs="Times New Roman" w:eastAsia="Times New Roman" w:hAnsi="Times New Roman"/>
          <w:sz w:val="18"/>
          <w:szCs w:val="18"/>
          <w:color w:val="auto"/>
        </w:rPr>
        <w:t>(5)            acts of war, sabotage or terrorism, or any escalation or worsening of any such acts of war, sabotage or terrorism threatened or underway as of the date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earthquakes, hurricanes, tornadoes or other natural disasters;</w:t>
      </w:r>
    </w:p>
    <w:p>
      <w:pPr>
        <w:spacing w:after="0" w:line="223" w:lineRule="exact"/>
        <w:rPr>
          <w:sz w:val="20"/>
          <w:szCs w:val="20"/>
          <w:color w:val="auto"/>
        </w:rPr>
      </w:pPr>
    </w:p>
    <w:p>
      <w:pPr>
        <w:ind w:left="1300" w:right="380"/>
        <w:spacing w:after="0" w:line="264" w:lineRule="auto"/>
        <w:rPr>
          <w:sz w:val="20"/>
          <w:szCs w:val="20"/>
          <w:color w:val="auto"/>
        </w:rPr>
      </w:pPr>
      <w:r>
        <w:rPr>
          <w:rFonts w:ascii="Times New Roman" w:cs="Times New Roman" w:eastAsia="Times New Roman" w:hAnsi="Times New Roman"/>
          <w:sz w:val="18"/>
          <w:szCs w:val="18"/>
          <w:color w:val="auto"/>
        </w:rPr>
        <w:t>(7)            any action taken by the Issuer or the Issuer Subsidiaries or InsuranceCo or its Subsidiaries, as applicable, to comply with its obligations under any agreement between the Issuer and/or its Affiliates or InsuranceCo and/or its Affiliates, on the one hand, and the Subscriber and/or its Affiliates, on the other hand; or</w:t>
      </w:r>
    </w:p>
    <w:p>
      <w:pPr>
        <w:spacing w:after="0" w:line="177" w:lineRule="exact"/>
        <w:rPr>
          <w:sz w:val="20"/>
          <w:szCs w:val="20"/>
          <w:color w:val="auto"/>
        </w:rPr>
      </w:pPr>
    </w:p>
    <w:p>
      <w:pPr>
        <w:ind w:left="1300" w:right="80"/>
        <w:spacing w:after="0" w:line="254" w:lineRule="auto"/>
        <w:rPr>
          <w:sz w:val="20"/>
          <w:szCs w:val="20"/>
          <w:color w:val="auto"/>
        </w:rPr>
      </w:pPr>
      <w:r>
        <w:rPr>
          <w:rFonts w:ascii="Times New Roman" w:cs="Times New Roman" w:eastAsia="Times New Roman" w:hAnsi="Times New Roman"/>
          <w:sz w:val="18"/>
          <w:szCs w:val="18"/>
          <w:color w:val="auto"/>
        </w:rPr>
        <w:t>(8)            in each case in and of itself, any decline in the market price, or change in trading volume, of the capital stock or debt securities of the Issuer or InsuranceCo, as applicable, or any direct or indirect Subsidiary thereof, or any failure to meet publicly announced or internal revenue or earnings projections, forecasts, estimates or guidance for any period, whether relating to financial performance or business metrics, including, without limitation, revenues, net operating incomes, cash flows or cash positions, it being further understood that any event, change, development, effect or occurrence giving rise to such decline in the trading price or trading volume of the capital stock or debt securities of the Issuer or InsuranceCo, as applicable, or such failure to meet internal projections or forecasts as described in this preceding clause (8), as the case may be, may be the cause of a Material Adverse Effect;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660" w:right="280"/>
        <w:spacing w:after="0" w:line="264" w:lineRule="auto"/>
        <w:rPr>
          <w:sz w:val="20"/>
          <w:szCs w:val="20"/>
          <w:color w:val="auto"/>
        </w:rPr>
      </w:pPr>
      <w:r>
        <w:rPr>
          <w:rFonts w:ascii="Times New Roman" w:cs="Times New Roman" w:eastAsia="Times New Roman" w:hAnsi="Times New Roman"/>
          <w:sz w:val="18"/>
          <w:szCs w:val="18"/>
          <w:color w:val="auto"/>
        </w:rPr>
        <w:t>except, in the case of clauses (1) and (2), to the extent such changes or events have a disproportionate adverse effect on the Issuer and the Issuer Subsidiaries or InsuranceCo and its Subsidiaries, as applicable, taken as a whole, as compared to other entities that engage in master planned communities development throughout the United States, or</w:t>
      </w:r>
    </w:p>
    <w:p>
      <w:pPr>
        <w:spacing w:after="0" w:line="177" w:lineRule="exact"/>
        <w:rPr>
          <w:sz w:val="20"/>
          <w:szCs w:val="20"/>
          <w:color w:val="auto"/>
        </w:rPr>
      </w:pPr>
    </w:p>
    <w:p>
      <w:pPr>
        <w:ind w:right="80" w:firstLine="645"/>
        <w:spacing w:after="0" w:line="280" w:lineRule="auto"/>
        <w:rPr>
          <w:sz w:val="20"/>
          <w:szCs w:val="20"/>
          <w:color w:val="auto"/>
        </w:rPr>
      </w:pPr>
      <w:r>
        <w:rPr>
          <w:rFonts w:ascii="Times New Roman" w:cs="Times New Roman" w:eastAsia="Times New Roman" w:hAnsi="Times New Roman"/>
          <w:sz w:val="18"/>
          <w:szCs w:val="18"/>
          <w:color w:val="auto"/>
        </w:rPr>
        <w:t>(ii)            materially impairs the ability of the Issuer or InsuranceCo, as applicable to consummate the Transaction contemplated by this Agreement or perform its obligations hereunder or under the other agreements executed in connection with the Transaction.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with respect to the Issuer and the Issuer Subsidiaries, any:</w:t>
      </w:r>
    </w:p>
    <w:p>
      <w:pPr>
        <w:spacing w:after="0" w:line="223" w:lineRule="exact"/>
        <w:rPr>
          <w:sz w:val="20"/>
          <w:szCs w:val="20"/>
          <w:color w:val="auto"/>
        </w:rPr>
      </w:pPr>
    </w:p>
    <w:p>
      <w:pPr>
        <w:ind w:right="460" w:firstLine="645"/>
        <w:spacing w:after="0" w:line="280" w:lineRule="auto"/>
        <w:rPr>
          <w:sz w:val="20"/>
          <w:szCs w:val="20"/>
          <w:color w:val="auto"/>
        </w:rPr>
      </w:pPr>
      <w:r>
        <w:rPr>
          <w:rFonts w:ascii="Times New Roman" w:cs="Times New Roman" w:eastAsia="Times New Roman" w:hAnsi="Times New Roman"/>
          <w:sz w:val="18"/>
          <w:szCs w:val="18"/>
          <w:color w:val="auto"/>
        </w:rPr>
        <w:t>(i)             Contract that would be considered a material contract pursuant to Item 601(b)(10) of Regulation S-K promulgated by the SEC, had the Issuer been the registrant referred to in such regulation; or</w:t>
      </w:r>
    </w:p>
    <w:p>
      <w:pPr>
        <w:spacing w:after="0" w:line="162" w:lineRule="exact"/>
        <w:rPr>
          <w:sz w:val="20"/>
          <w:szCs w:val="20"/>
          <w:color w:val="auto"/>
        </w:rPr>
      </w:pPr>
    </w:p>
    <w:p>
      <w:pPr>
        <w:jc w:val="both"/>
        <w:ind w:right="560" w:firstLine="645"/>
        <w:spacing w:after="0" w:line="264" w:lineRule="auto"/>
        <w:rPr>
          <w:sz w:val="20"/>
          <w:szCs w:val="20"/>
          <w:color w:val="auto"/>
        </w:rPr>
      </w:pPr>
      <w:r>
        <w:rPr>
          <w:rFonts w:ascii="Times New Roman" w:cs="Times New Roman" w:eastAsia="Times New Roman" w:hAnsi="Times New Roman"/>
          <w:sz w:val="18"/>
          <w:szCs w:val="18"/>
          <w:color w:val="auto"/>
        </w:rPr>
        <w:t>(ii)            Contract for capital expenditures, the future acquisition or construction of fixed assets or the future purchase of materials, supplies or equipment that provides for the payment by the Issuer or its Subsidiaries of more than $25,000,000 and is not terminable by the Issuer or any Issuer Subsidiary by notice of not more than sixty (60) days for a cost of less than $10,000,000.</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4(a)(xv)(B)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Disclosure Parties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Title Exceptions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4(a)(xx)(A)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80"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group (including a “group” under Section 13(d) of the Exchange Act), a partnership, a corporation, a limited liability company, an association, a joint stock company, a trust, a joint venture, an unincorporated organization and a Governmental Entity or any department, agency or political subdivision thereof.</w:t>
      </w:r>
    </w:p>
    <w:p>
      <w:pPr>
        <w:spacing w:after="0" w:line="177" w:lineRule="exact"/>
        <w:rPr>
          <w:sz w:val="20"/>
          <w:szCs w:val="20"/>
          <w:color w:val="auto"/>
        </w:rPr>
      </w:pPr>
    </w:p>
    <w:p>
      <w:pPr>
        <w:ind w:right="100"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Secondary Sale</w:t>
      </w:r>
      <w:r>
        <w:rPr>
          <w:rFonts w:ascii="Times New Roman" w:cs="Times New Roman" w:eastAsia="Times New Roman" w:hAnsi="Times New Roman"/>
          <w:sz w:val="18"/>
          <w:szCs w:val="18"/>
          <w:color w:val="auto"/>
        </w:rPr>
        <w:t>” means any direct or indirect sale, assignment, transfer, conveyance, pledge, hypothecation, encumbrance, or other disposition of outstanding InsuranceCo Equity Securities (or any interest therein), whether by operation of law or otherwise, by a current holder (other than the Subscriber or its Affiliates) to any Person other than an Affiliate of Subscriber, Issuer or InsuranceCo.</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that Registration Rights Agreement, dated as of the date hereof, by and among the Issuer, InsuranceCo and Subscriber, as set forth in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5(d)(i)</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ROFR Notice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5(d)(ii)</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ROFR Offered Terms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5(d)(ii)(B)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ROFR Securities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5(d)(ii)(A)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has the meaning assigned thereto in the Preamble.</w:t>
      </w:r>
    </w:p>
    <w:p>
      <w:pPr>
        <w:spacing w:after="0" w:line="223" w:lineRule="exact"/>
        <w:rPr>
          <w:sz w:val="20"/>
          <w:szCs w:val="20"/>
          <w:color w:val="auto"/>
        </w:rPr>
      </w:pPr>
    </w:p>
    <w:p>
      <w:pPr>
        <w:ind w:right="60"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means the Series A Non-Voting Exchangeable Perpetual Preferred Stock of the Issuer, par value $0.01 per share, which shall include the Purchased Shares as well as any additional shares of Series A Non-Voting Exchangeable Perpetual Preferred Stock the Subscriber holds from time to time.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 has the meaning assigned thereto in the Preamble.</w:t>
      </w:r>
    </w:p>
    <w:p>
      <w:pPr>
        <w:spacing w:after="0" w:line="223" w:lineRule="exact"/>
        <w:rPr>
          <w:sz w:val="20"/>
          <w:szCs w:val="20"/>
          <w:color w:val="auto"/>
        </w:rPr>
      </w:pPr>
    </w:p>
    <w:p>
      <w:pPr>
        <w:ind w:right="400"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Subscriber Group</w:t>
      </w:r>
      <w:r>
        <w:rPr>
          <w:rFonts w:ascii="Times New Roman" w:cs="Times New Roman" w:eastAsia="Times New Roman" w:hAnsi="Times New Roman"/>
          <w:sz w:val="18"/>
          <w:szCs w:val="18"/>
          <w:color w:val="auto"/>
        </w:rPr>
        <w:t>” means the Subscriber, Pershing Square Capital Management, L.P. and their respective Affiliates, including the investment funds managed by one or more Affiliates of the Subscriber (for the avoidance of doubt, including as of the date hereof Pershing Square Inc., Pershing Square USA, Ltd., Pershing Square International, Ltd. and Pershing Square, L.P.).</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Closing</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Closing Date</w:t>
      </w:r>
      <w:r>
        <w:rPr>
          <w:rFonts w:ascii="Times New Roman" w:cs="Times New Roman" w:eastAsia="Times New Roman" w:hAnsi="Times New Roman"/>
          <w:sz w:val="18"/>
          <w:szCs w:val="18"/>
          <w:color w:val="auto"/>
        </w:rPr>
        <w:t>” means the date hereof.</w:t>
      </w:r>
    </w:p>
    <w:p>
      <w:pPr>
        <w:spacing w:after="0" w:line="223" w:lineRule="exact"/>
        <w:rPr>
          <w:sz w:val="20"/>
          <w:szCs w:val="20"/>
          <w:color w:val="auto"/>
        </w:rPr>
      </w:pPr>
    </w:p>
    <w:p>
      <w:pPr>
        <w:ind w:right="60" w:firstLine="64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(i) a corporation a majority of whose capital stock with voting power, under ordinary circumstances, to elect a majority of the directors is at the time, directly or indirectly, owned by such Person, by a Subsidiary of such Person, or by such Person and one or more Subsidiaries of such Person, (ii) a partnership in which such Person or a Subsidiary of such Person is, at the date of determination, a general partner of such partnership, (iii) a limited liability company of which such Person, or a Subsidiary of such Person, is a managing member or (iv) any other Person (other than a corporation) in which such Person, a Subsidiary of such Person or such Person and one or more Subsidiaries of such Person, directly or indirectly, at the date of determination thereof, has (x) at least a majority ownership interest or (y) the power to elect or direct the election of a majority of the directors or other governing body of such Person.</w:t>
      </w:r>
    </w:p>
    <w:p>
      <w:pPr>
        <w:spacing w:after="0" w:line="186" w:lineRule="exact"/>
        <w:rPr>
          <w:sz w:val="20"/>
          <w:szCs w:val="20"/>
          <w:color w:val="auto"/>
        </w:rPr>
      </w:pPr>
    </w:p>
    <w:p>
      <w:pPr>
        <w:ind w:right="120" w:firstLine="64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Protection Agreements</w:t>
      </w:r>
      <w:r>
        <w:rPr>
          <w:rFonts w:ascii="Times New Roman" w:cs="Times New Roman" w:eastAsia="Times New Roman" w:hAnsi="Times New Roman"/>
          <w:sz w:val="18"/>
          <w:szCs w:val="18"/>
          <w:color w:val="auto"/>
        </w:rPr>
        <w:t>” means any written agreement to which a Person or any of its Subsidiaries is a party pursuant to which in connection with the deferral of income Taxes of a holder of interests in the Person or any of its Subsidiaries, the Person or any such Subsidiary has agreed to (i) maintain a minimum level of Indebtedness or continue any particular Indebtedness, (ii) retain or not dispose of assets for a period of time that has not since expired, (iii) make or refrain from making Tax elections and/or (iv) only dispose of assets in a particular manner.</w:t>
      </w:r>
    </w:p>
    <w:p>
      <w:pPr>
        <w:spacing w:after="0" w:line="181" w:lineRule="exact"/>
        <w:rPr>
          <w:sz w:val="20"/>
          <w:szCs w:val="20"/>
          <w:color w:val="auto"/>
        </w:rPr>
      </w:pPr>
    </w:p>
    <w:p>
      <w:pPr>
        <w:ind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 including, where permitted or required, combined or consolidated returns for any group of entities that include a Person or any of its Subsidiaries.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4(a)(xxi)(A)</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means “Tranche” as defined in the Certificate of Designations.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Voting Proxy Agreement</w:t>
      </w:r>
      <w:r>
        <w:rPr>
          <w:rFonts w:ascii="Times New Roman" w:cs="Times New Roman" w:eastAsia="Times New Roman" w:hAnsi="Times New Roman"/>
          <w:sz w:val="17"/>
          <w:szCs w:val="17"/>
          <w:color w:val="auto"/>
        </w:rPr>
        <w:t xml:space="preserve">” means the Voting Proxy Agreement, dated as of the date hereof set forth in </w:t>
      </w:r>
      <w:r>
        <w:rPr>
          <w:rFonts w:ascii="Times New Roman" w:cs="Times New Roman" w:eastAsia="Times New Roman" w:hAnsi="Times New Roman"/>
          <w:sz w:val="17"/>
          <w:szCs w:val="17"/>
          <w:u w:val="single" w:color="auto"/>
          <w:color w:val="auto"/>
        </w:rPr>
        <w:t>Annex C</w:t>
      </w:r>
      <w:r>
        <w:rPr>
          <w:rFonts w:ascii="Times New Roman" w:cs="Times New Roman" w:eastAsia="Times New Roman" w:hAnsi="Times New Roman"/>
          <w:sz w:val="17"/>
          <w:szCs w:val="17"/>
          <w:color w:val="auto"/>
        </w:rPr>
        <w:t xml:space="preserve"> hereto.</w:t>
      </w:r>
    </w:p>
    <w:p>
      <w:pPr>
        <w:spacing w:after="0" w:line="200" w:lineRule="exact"/>
        <w:rPr>
          <w:sz w:val="20"/>
          <w:szCs w:val="20"/>
          <w:color w:val="auto"/>
        </w:rPr>
      </w:pPr>
    </w:p>
    <w:p>
      <w:pPr>
        <w:spacing w:after="0" w:line="2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76200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479"/>
          </w:cols>
          <w:pgMar w:left="980" w:top="874" w:right="1440"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Certificate of Designations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76200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870" w:right="1440"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Voting Proxy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76200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870"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Registration Rights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67945</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00" w:firstLine="645"/>
        <w:spacing w:after="0" w:line="253" w:lineRule="auto"/>
        <w:rPr>
          <w:sz w:val="20"/>
          <w:szCs w:val="20"/>
          <w:color w:val="auto"/>
        </w:rPr>
      </w:pPr>
      <w:r>
        <w:rPr>
          <w:rFonts w:ascii="Times New Roman" w:cs="Times New Roman" w:eastAsia="Times New Roman" w:hAnsi="Times New Roman"/>
          <w:sz w:val="18"/>
          <w:szCs w:val="18"/>
          <w:color w:val="auto"/>
        </w:rPr>
        <w:t>THIS REGISTRATION RIGHTS AGREEMENT, dated as of June 4,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Pershing Square Holdings, Ltd., a limited company organized under the laws of Guernsey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Howard Hughes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Howard Hughes Insurance Holdings, LLC, a Delaware limited liability company (the “</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00" w:firstLine="645"/>
        <w:spacing w:after="0" w:line="249" w:lineRule="auto"/>
        <w:rPr>
          <w:sz w:val="20"/>
          <w:szCs w:val="20"/>
          <w:color w:val="auto"/>
        </w:rPr>
      </w:pPr>
      <w:r>
        <w:rPr>
          <w:rFonts w:ascii="Times New Roman" w:cs="Times New Roman" w:eastAsia="Times New Roman" w:hAnsi="Times New Roman"/>
          <w:sz w:val="18"/>
          <w:szCs w:val="18"/>
          <w:color w:val="auto"/>
        </w:rPr>
        <w:t>WHEREAS, Purchaser has, pursuant to the terms of that certain Subscription Agreement, dated as of the date thereof, by and between the Purchaser, Company and InsuranceCo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agreed, among other things, to purchase one hundred forty thousand (140,000) shares of the Series A Non-Voting Exchangeable Perpetual Preferred Stock, par value $0.01 per share, of the Company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ind w:right="440" w:firstLine="645"/>
        <w:spacing w:after="0" w:line="253" w:lineRule="auto"/>
        <w:rPr>
          <w:sz w:val="20"/>
          <w:szCs w:val="20"/>
          <w:color w:val="auto"/>
        </w:rPr>
      </w:pPr>
      <w:r>
        <w:rPr>
          <w:rFonts w:ascii="Times New Roman" w:cs="Times New Roman" w:eastAsia="Times New Roman" w:hAnsi="Times New Roman"/>
          <w:sz w:val="18"/>
          <w:szCs w:val="18"/>
          <w:color w:val="auto"/>
        </w:rPr>
        <w:t>WHEREAS, the Series A Preferred Stock is, in specified circumstances, exchangeable into a number of common units of InsuranceCo (the “</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subject to the terms and conditions of the Certificate of Designations of Series A Preferred Stock, dated as of the date hereof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and the Subscription Agreement (such exchange, the “</w:t>
      </w:r>
      <w:r>
        <w:rPr>
          <w:rFonts w:ascii="Times New Roman" w:cs="Times New Roman" w:eastAsia="Times New Roman" w:hAnsi="Times New Roman"/>
          <w:sz w:val="18"/>
          <w:szCs w:val="18"/>
          <w:u w:val="single" w:color="auto"/>
          <w:color w:val="auto"/>
        </w:rPr>
        <w:t>InsuranceCo Exchange</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WHEREAS, the Company and the Purchaser desire to define certain registration rights with respect to the InsuranceCo Common Units and certain other securities on the terms and subject to the conditions herein set forth in order to assure that the InsuranceCo Common Units shall, following the InsuranceCo Exchange, be freely transferable by the Holder in accordance with applicable laws; and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premises and for other good and valuable consideration, the parties hereby agree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respective meanings set forth below: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60"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particular Person shall mean any other Person controlling, controlled by or under common control with such particular Person. For the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mean the possession, directly or indirectly, of the power to direct the management and policies of a Person whether through the ownership of voting securities, contract or otherwise;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shall mean any day other than (i) a Saturday, (ii) a Sunday, or (iii) any day on which commercial banks in New York, New York 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or authorized to close by law or executive order;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659" w:right="399" w:bottom="1440" w:gutter="0" w:footer="0" w:header="0"/>
        </w:sectPr>
      </w:pPr>
    </w:p>
    <w:bookmarkStart w:id="59" w:name="page60"/>
    <w:bookmarkEnd w:id="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shall mean the New York Stock Exchange, the Nasdaq Stock Market or any successor to any of the foregoing.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60" w:firstLine="64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or any successor federal statute, and the rules and regulations of the SEC promulgated thereunder, all as the same may be amended and shall be in effect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mean the Financial Industry Regulatory Authority;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any holder of Series A Preferred Stock or Registrable Securities subject to this Agreement, solely in their capacity as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Permitted Assignees;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2.7(c)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2.7(c)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Initiating Holder(s)</w:t>
      </w:r>
      <w:r>
        <w:rPr>
          <w:rFonts w:ascii="Times New Roman" w:cs="Times New Roman" w:eastAsia="Times New Roman" w:hAnsi="Times New Roman"/>
          <w:sz w:val="17"/>
          <w:szCs w:val="17"/>
          <w:color w:val="auto"/>
        </w:rPr>
        <w:t>” shall mean any Holder, with respect to the Registrable Securities as to which such Holder submits a Demand Notice pursuant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Exchange</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 under the Securities Act, relating to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of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2.7(a)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Unitholders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2.1(c)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Holders</w:t>
      </w:r>
      <w:r>
        <w:rPr>
          <w:rFonts w:ascii="Times New Roman" w:cs="Times New Roman" w:eastAsia="Times New Roman" w:hAnsi="Times New Roman"/>
          <w:sz w:val="18"/>
          <w:szCs w:val="18"/>
          <w:color w:val="auto"/>
        </w:rPr>
        <w:t>” shall mean Holders participating in the Registration relating to the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Assignee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group (including a “group” under Section 13(d) of the Exchange Act), a partnership, a corporation, a limited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an association, a joint stock company, a trust, a joint venture, an unincorporated organization and a government or agency or political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subdivision 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520" w:firstLine="64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(including any preliminary, final or summary prospectus) included in any Registration Statement, all amendments and supplements to such prospectus and all other material incorporated by reference in such prospectus;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Employee Unit</w:t>
      </w:r>
      <w:r>
        <w:rPr>
          <w:rFonts w:ascii="Times New Roman" w:cs="Times New Roman" w:eastAsia="Times New Roman" w:hAnsi="Times New Roman"/>
          <w:sz w:val="18"/>
          <w:szCs w:val="18"/>
          <w:color w:val="auto"/>
        </w:rPr>
        <w:t>” shall mean (i) rights and options issued in the ordinary course of business under employee benefits plans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or any predecessor or otherwise to executives in compensation arrangements approved by the Board of Directors of InsuranceCo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predecessor and any securities issued after the date hereof upon exercise of such rights and options and options issued to employees of InsuranceCo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predecessor as a result of adjustments to options in connection with the reorganization of InsuranceCo or any predecessor and (ii) restricted securities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units issued after the date hereof in the ordinary course of business under employee benefit plans and securities issued after the date hereof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any such restricted units;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shall mean a registration effected by preparing and (i) filing a Registration Statement in compliance with the Securities Act (and any post-effective amendments filed or required to be filed) and the declaration or ordering of effectiveness of such Registration Statement, or (ii) filing a Prospectus and/or prospectus supplement in respect of an appropriate effective Registration Statement;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right="20" w:hanging="648"/>
        <w:spacing w:after="0" w:line="249"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InsuranceCo Common Units acquired or held by the Purchaser on or after the date of the InsuranceCo Exchange (whether or not acquired in connection with the Subscription Agreement or otherwise);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right="200" w:hanging="648"/>
        <w:spacing w:after="0" w:line="249"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securities of InsuranceCo or its Affiliates issued as a dividend or other distribution with respect to, or in exchange for or in conversion, exercise or replacement of, any Registrable Securities described in clause (i) (the “</w:t>
      </w:r>
      <w:r>
        <w:rPr>
          <w:rFonts w:ascii="Times New Roman" w:cs="Times New Roman" w:eastAsia="Times New Roman" w:hAnsi="Times New Roman"/>
          <w:sz w:val="18"/>
          <w:szCs w:val="18"/>
          <w:u w:val="single" w:color="auto"/>
          <w:color w:val="auto"/>
        </w:rPr>
        <w:t>Initial Securities</w:t>
      </w:r>
      <w:r>
        <w:rPr>
          <w:rFonts w:ascii="Times New Roman" w:cs="Times New Roman" w:eastAsia="Times New Roman" w:hAnsi="Times New Roman"/>
          <w:sz w:val="18"/>
          <w:szCs w:val="18"/>
          <w:color w:val="auto"/>
        </w:rPr>
        <w:t>”) or securities that may become Registrable Securities by virtue of clause (C); (B) any securities of InsuranceCo or its Affiliates offered wholly or partly in consideration of the Initial Securities or securities that may become Registrable Securities by virtue of clause (C) in any tender or exchange offer; or (C) any securities of InsuranceCo or its Affiliates issued as a dividend or other distribution with respect to, or in exchange for or in conversion, exercise or replacement of or offered wholly or partly in any tender or exchange offer in consideration of any Registrable Securities described in clause (A) or (B);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right="360" w:hanging="648"/>
        <w:spacing w:after="0" w:line="249"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Registrable Securities described in clause (i) or (ii) above acquired or held by a Person, for which rights and obligations have been assigned pursuant to clause (ii)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in accordance with the terms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as to any particular Registrable Securities, such securities shall cease to be Registrable Securities (1) when a Registration Statement with respect to such securities has been declared effective under the Securities Act and such securities have been disposed of pursuant to such Registration Statement, (2) after such securities have been sold in accordance with Rule 144 (but not Rule 144A), (3) after such securities shall have otherwise been transferred and new securities not subject to transfer restrictions under any federal securities laws and not bearing any legend restricting further transfer shall have been delivered by InsuranceCo, all applicable holding periods shall have expired, and no other applicable and legally binding restriction on transfer by the holder thereof shall exist, (4) when such securities are eligible for sale pursuant to Rule 144 under the Securities Act without limitation thereunder on volume or manner of sale, or (5) when such securities cease to be outstanding;  </w:t>
      </w:r>
    </w:p>
    <w:p>
      <w:pPr>
        <w:spacing w:after="0" w:line="211"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mean (i) any and all out-of-pocket expenses incurred by InsuranceCo and its Subsidiaries in effecting any Registration pursuant to this Agreement, including, without limitation, all (1) Registration and filing fees, and all other fees and expenses payable in connection with the listing of securities on any securities exchange or automated interdealer quotation system, (2)  fees and expenses of compliance with any securities or “blue sky” laws (including reasonable and documented fees and disbursements of counsel in connection with “blue sky” qualifications of the securities registered in any single transaction), (3) expenses in connection with the preparation, printing, mailing and delivery of any Registration Statements, Prospectuses, Issuer Free Writing Prospectus and other documents in connection therewith and any amendments or supplements thereto,</w:t>
      </w:r>
    </w:p>
    <w:p>
      <w:pPr>
        <w:spacing w:after="0" w:line="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(4) security engraving and printing expenses, (5) internal expenses of InsuranceCo (including, without limitation, all salaries and expenses of its officers and employees performing legal or accounting duties), (6) fees and disbursements of counsel for InsuranceCo and fees and expenses for independent certified public accountants retained by InsuranceCo (including the expenses associated with the delivery by independent certified public accountants of any comfort letters requested pursuant to the terms hereof), (7) fees and expenses of any special experts retained by InsuranceCo in connection with such Registration,</w:t>
      </w:r>
    </w:p>
    <w:p>
      <w:pPr>
        <w:spacing w:after="0" w:line="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(8) fees and expenses in connection with any review by FINRA of any underwriting arrangements or other terms of the offering, and all reasonable fees and expenses of any “qualified independent underwriter”, (9) reasonable and documented fees and disbursements of underwriters customarily paid by issuers or sellers of securities, but excluding any underwriting fees, discounts and commissions attributable to the sale of Registrable Securities and fees and expenses of counsel, (10) costs of printing and producing any agreements among underwriters, underwriting agreements, any “blue sky” or legal investment memoranda and any selling agreements and other documents in connection with the offering, sale or delivery of the Registrable Securities, (11) transfer agents’ and registrars’ fees and expenses and the fees and expenses of any other agent or trustee appointed in connection with such offering and</w:t>
      </w:r>
    </w:p>
    <w:p>
      <w:pPr>
        <w:spacing w:after="0" w:line="5" w:lineRule="exact"/>
        <w:rPr>
          <w:sz w:val="20"/>
          <w:szCs w:val="20"/>
          <w:color w:val="auto"/>
        </w:rPr>
      </w:pPr>
    </w:p>
    <w:p>
      <w:pPr>
        <w:ind w:right="520"/>
        <w:spacing w:after="0" w:line="249" w:lineRule="auto"/>
        <w:rPr>
          <w:sz w:val="20"/>
          <w:szCs w:val="20"/>
          <w:color w:val="auto"/>
        </w:rPr>
      </w:pPr>
      <w:r>
        <w:rPr>
          <w:rFonts w:ascii="Times New Roman" w:cs="Times New Roman" w:eastAsia="Times New Roman" w:hAnsi="Times New Roman"/>
          <w:sz w:val="18"/>
          <w:szCs w:val="18"/>
          <w:color w:val="auto"/>
        </w:rPr>
        <w:t>(12) reasonable and documented expenses relating to any analyst or investor presentations or any “road shows” undertaken in connection with the Registration, marketing or selling of the Registrable Securities in any single transaction; and (ii) reasonable and documented fees and expenses of one counsel for all of the Participating Holders, which counsel shall be selected by the Participating Holder holding the largest number of the Registrable Securities to be sold in the applicable Registration. Registration Expenses shall not include any out-of-pocket expenses of the Participating Holders;  </w:t>
      </w:r>
    </w:p>
    <w:p>
      <w:pPr>
        <w:spacing w:after="0" w:line="1" w:lineRule="exact"/>
        <w:rPr>
          <w:sz w:val="20"/>
          <w:szCs w:val="20"/>
          <w:color w:val="auto"/>
        </w:rPr>
      </w:pPr>
    </w:p>
    <w:p>
      <w:pPr>
        <w:ind w:right="100" w:firstLine="64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of InsuranceCo that covers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financial information and all material incorporated by reference in such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Shelf 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 Rule 144A</w:t>
      </w:r>
      <w:r>
        <w:rPr>
          <w:rFonts w:ascii="Times New Roman" w:cs="Times New Roman" w:eastAsia="Times New Roman" w:hAnsi="Times New Roman"/>
          <w:sz w:val="17"/>
          <w:szCs w:val="17"/>
          <w:color w:val="auto"/>
        </w:rPr>
        <w:t>” shall mean Rule 144 and Rule 144A, respectively, under the Securities Act (or any successor provisions then in force), as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may be amended and shall be in effect from time to time;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S-1 Registration Statement</w:t>
      </w:r>
      <w:r>
        <w:rPr>
          <w:rFonts w:ascii="Times New Roman" w:cs="Times New Roman" w:eastAsia="Times New Roman" w:hAnsi="Times New Roman"/>
          <w:sz w:val="18"/>
          <w:szCs w:val="18"/>
          <w:color w:val="auto"/>
        </w:rPr>
        <w:t>” shall mean a registration statement of InsuranceCo on Form S-1 (or any comparable or successor form) filed with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registering any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right="280"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Black-Out Period</w:t>
      </w:r>
      <w:r>
        <w:rPr>
          <w:rFonts w:ascii="Times New Roman" w:cs="Times New Roman" w:eastAsia="Times New Roman" w:hAnsi="Times New Roman"/>
          <w:sz w:val="18"/>
          <w:szCs w:val="18"/>
          <w:color w:val="auto"/>
        </w:rPr>
        <w:t>” shall mean the period beginning at the close of trading on the fifth (5th) trading day before the end of each fiscal quarter and fiscal year-end of the Company and ending at the start of trading on the second (2nd) trading day following the date of the Company’s public filing of its quarterly report on Form 10-Q or its annual report on Form 10-K with the SEC (and the related public earnings release);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have the meaning set forth in Section 2(a)(1) of the Securities 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40"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shall mean all underwriting discounts, selling commissions and stock transfer taxes applicable to the sale of Registrable Securities and all fees and disbursements of counsel for each of the Holders, other than the fees and expenses of one counsel for all of the Holders, which shall be paid for by InsuranceCo in accordance with the terms set forth in clause (ii) of the definition of “Registration Expenses” set forth herein;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 w:firstLine="64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shall mean a “shelf” registration statement of InsuranceCo that covers all the Registrable Securities (and may cover other securities of InsuranceCo) on Form S-3 and under Rule 415 or, if InsuranceCo is not then eligible to file on Form S-3, on Form S-1 under the Securities Act, or any successor rule that may be adopted by the SEC, and all amendments and supplements to such registration statement, including post-effective amendments, in each case including the Prospectus contained therein, all exhibits thereto and any document incorporated by reference therein;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 Person, (i) a corporation a majority of whose capital stock with voting power, under ordinary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to elect a majority of the directors is at the time, directly or indirectly, owned by such Person, by a Subsidiary of such Person, or by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 and one or more Subsidiaries of such Person, (ii) a partnership in which such Person or a Subsidiary of such Person is, at the date of determination,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partner of such partnership, (iii) a limited liability company of which such Person, or a Subsidiary of such Person, is a managing member or (iv)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 (other than a corporation) in which such Person, a Subsidiary of such Person or such Person and one or more Subsidiaries of such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at the date of determination thereof, has (x) at least a majority ownership interest or (y) the power to elect or direct the election of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directors or other governing body of such Person;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mean, individually or collectively, the Subscription Agreement, the Certificate of Designations and this Agreement, in each case, as any such agreement may be amended or restated from time to time.  </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2. REGISTRATION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2.1            </w:t>
      </w:r>
      <w:r>
        <w:rPr>
          <w:rFonts w:ascii="Times New Roman" w:cs="Times New Roman" w:eastAsia="Times New Roman" w:hAnsi="Times New Roman"/>
          <w:sz w:val="18"/>
          <w:szCs w:val="18"/>
          <w:u w:val="single" w:color="auto"/>
          <w:color w:val="000000"/>
        </w:rPr>
        <w:t>Demand Registration</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80" w:firstLine="645"/>
        <w:spacing w:after="0" w:line="24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Request for Registration</w:t>
      </w:r>
      <w:r>
        <w:rPr>
          <w:rFonts w:ascii="Times New Roman" w:cs="Times New Roman" w:eastAsia="Times New Roman" w:hAnsi="Times New Roman"/>
          <w:sz w:val="18"/>
          <w:szCs w:val="18"/>
          <w:color w:val="auto"/>
        </w:rPr>
        <w:t xml:space="preserve">. Subject to the limitations and conditions set forth in the Certificate of Designations and </w:t>
      </w:r>
      <w:r>
        <w:rPr>
          <w:rFonts w:ascii="Times New Roman" w:cs="Times New Roman" w:eastAsia="Times New Roman" w:hAnsi="Times New Roman"/>
          <w:sz w:val="18"/>
          <w:szCs w:val="18"/>
          <w:u w:val="single" w:color="auto"/>
          <w:color w:val="auto"/>
        </w:rPr>
        <w:t>Section 2.1(b) hereof</w:t>
      </w:r>
      <w:r>
        <w:rPr>
          <w:rFonts w:ascii="Times New Roman" w:cs="Times New Roman" w:eastAsia="Times New Roman" w:hAnsi="Times New Roman"/>
          <w:sz w:val="18"/>
          <w:szCs w:val="18"/>
          <w:color w:val="auto"/>
        </w:rPr>
        <w:t>, if InsuranceCo shall receive from an Initiating Holder(s) a written demand (the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that InsuranceCo effect any Registration with respect to all or a part of the Registrable Securities owned by such Initiating Holder(s) constituting at least one (1) Tranche (as defined in the Certificate of Designations) of the Series A Preferred Shares, InsuranceCo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tabs>
          <w:tab w:leader="none" w:pos="194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promptly give written notice of the proposed Registration to all other Holders in accordance with the terms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160" w:hanging="643"/>
        <w:spacing w:after="0" w:line="249" w:lineRule="auto"/>
        <w:tabs>
          <w:tab w:leader="none" w:pos="194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its reasonable best efforts to file a Registration Statement with the SEC in accordance with the request of the Initiating Holder(s), including without limitation the method of disposition specified therein and covering resales of the Registrable Securities requested to be registered, as promptly as reasonably practicable but no later than (x) in the case of a Registration Statement other than an S-1 Registration Statement, within thirty (30) days of receipt of the Demand Notice or (y) in the case of an S-1 Registration Statement, within sixty (60) days of receipt of the Demand Notice;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120" w:hanging="643"/>
        <w:spacing w:after="0" w:line="249" w:lineRule="auto"/>
        <w:tabs>
          <w:tab w:leader="none" w:pos="194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use reasonable best efforts to cause such Registration Statement to be declared or become effective as promptly as practicable, but in no event later than ninety (90) days after the date of initial filing of a Registration Statement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60" w:hanging="643"/>
        <w:spacing w:after="0" w:line="249" w:lineRule="auto"/>
        <w:tabs>
          <w:tab w:leader="none" w:pos="194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use reasonable best efforts to keep such Registration Statement continuously effective and in compliance with the Securities Act and usable for resale of such Registrable Securities for the period as requested in writing by the Initiating Holder(s) or such longer period as may be requested in writing by any Holder participating in such registration (which periods shall be extended to the extent of any suspensions of sales pursuant to </w:t>
      </w:r>
      <w:r>
        <w:rPr>
          <w:rFonts w:ascii="Times New Roman" w:cs="Times New Roman" w:eastAsia="Times New Roman" w:hAnsi="Times New Roman"/>
          <w:sz w:val="18"/>
          <w:szCs w:val="18"/>
          <w:u w:val="single" w:color="auto"/>
          <w:color w:val="auto"/>
        </w:rPr>
        <w:t>Sections 2.1(a)(iii) </w:t>
      </w:r>
      <w:r>
        <w:rPr>
          <w:rFonts w:ascii="Times New Roman" w:cs="Times New Roman" w:eastAsia="Times New Roman" w:hAnsi="Times New Roman"/>
          <w:sz w:val="18"/>
          <w:szCs w:val="18"/>
          <w:color w:val="auto"/>
        </w:rPr>
        <w:t>or (iv));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written request of the Purchaser, the Company and InsuranceCo shall, without limitation of the foregoing undertakings, and subject to Section 2.1(b), use reasonable best efforts to cause InsuranceCo to conduct an initial public offering or direct listing concurrently with any InsuranceCo Exchange, and to cause the S-1 Registration Statement to be declared or become effective so as to permit such initial public offering or direct listing;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InsuranceCo shall be permitted, with the consent of the Initiating Holder(s) not to be unreasonably withheld, to file a post-effective amendment or prospectus supplement to any currently effective Shelf Registration Statement (including the Required Shelf Registration Statement contemplated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in lieu of an additional registration statement pursuant to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to the extent InsuranceCo reasonably determines that the Registrable Securities of the Initiating Holder(s) may be sold thereunder by such Initiating Holder(s) pursuant to their intended plan of distribution (in which case such post-effective amendment or prospectus supplement shall not be counted against the limited number of demand registrations). It shall not be unreasonable if, following the recommendation of an underwriter or if such Demand Notice specified that a S-1 Registration Statement was to be filed, the Initiating Holder(s) do not consent to InsuranceCo filing a post-effective amendment or prospectus supplement to a Shelf Registration Statement in lieu of an additional registration statement requested by the Initiating Holder(s).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Notwithstanding anything to the contrary contained herein, InsuranceCo shall not be obligated to effect, or take any action to effect, any such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line="249" w:lineRule="auto"/>
        <w:tabs>
          <w:tab w:leader="none" w:pos="1940"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any particular jurisdiction in which InsuranceCo would be required to execute a general consent to service of process or qualify to do business in effecting such Registration, qualification or compliance, unless InsuranceCo is already subject to service in such jurisdiction and except as may be required by the Securities Act or applicable rules or regulations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tabs>
          <w:tab w:leader="none" w:pos="1940"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securities that are not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260" w:hanging="643"/>
        <w:spacing w:after="0" w:line="249" w:lineRule="auto"/>
        <w:tabs>
          <w:tab w:leader="none" w:pos="194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InsuranceCo has notified the Holders that in the good faith judgment of InsuranceCo, it would be materially detrimental to InsuranceCo or its security holders for such registration to be effected at such time, in which event InsuranceCo shall have the right to defer such registration for a period of not more than sixty (60)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right to delay a registration pursuant to this clause (iii) shall be exercised by InsuranceCo only if InsuranceCo has generally exercised (or is concurrently exercising) similar black-out rights against holders of similar securities that have registration rights, if any;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1" w:name="page72"/>
    <w:bookmarkEnd w:id="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40" w:right="40" w:hanging="643"/>
        <w:spacing w:after="0" w:line="249" w:lineRule="auto"/>
        <w:tabs>
          <w:tab w:leader="none" w:pos="1940"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solely with respect to any Affiliate of InsuranceCo, during any Scheduled Black-Out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total number of days that any such suspension, deferral or delay in registration pursuant to clauses (iii) and (iv) in the aggregate may be in effect in any one hundred eighty (180) day period shall not exceed seventy five (75) days. InsuranceCo agrees to use its reasonable best efforts to issue earnings releases as promptly as practicable following the end of quarterly reporting periods and to otherwise minimize the duration of Scheduled Black-Out Periods.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line="249" w:lineRule="auto"/>
        <w:tabs>
          <w:tab w:leader="none" w:pos="194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contained herein, if in connection with any initial public offering or direct listing demanded by the Initiating Holders the Board of Directors of InsuranceCo determines in good faith, after consultation with its outside legal counsel and independent financial advisors, that (A) InsuranceCo is unable to meet the minimum listing standards of an Exchange solely as a result of the value of shares subject to the registration demand being below the minimum size for the Exchange, provided for the avoidance of doubt that InsuranceCo shall use its reasonable efforts to, and the Initiating Holder will reasonably cooperate with InsuranceCo to, effect stock splits as applicable to meet the minimum number of shares needed for the applicable Exchange, (B) conducting such initial public offering or direct listing at the requested time would be inconsistent with the fiduciary duties of the Board of Directors of the Company or InsuranceCo to their respective shareholders or members, or (C) it would be materially detrimental to the Company or InsuranceCo and their respective shareholders or members for such initial public offering or direct listing to be effected at such time due to one or more of (1) a general suspension of, or material limitation on, trading in securities on an Exchange, (2) a material disruption in the securities settlement or clearance systems in the United States, or (3) the outbreak or escalation of hostilities, the declaration of a national emergency or martial law, or the occurrence of any other calamity or crisis that, in the good faith judgment of the Board of Directors of InsuranceCo, makes it impracticable to market or price the offering, the Board of Directors of InsuranceCo may provide written notice to the Initiating Holder(s) at least thirty (30) calendar days prior to the Target IPO Date, as set forth in the notice pursuant to </w:t>
      </w:r>
      <w:r>
        <w:rPr>
          <w:rFonts w:ascii="Times New Roman" w:cs="Times New Roman" w:eastAsia="Times New Roman" w:hAnsi="Times New Roman"/>
          <w:sz w:val="18"/>
          <w:szCs w:val="18"/>
          <w:u w:val="single" w:color="auto"/>
          <w:color w:val="auto"/>
        </w:rPr>
        <w:t>Section ‎2.1(h) </w:t>
      </w:r>
      <w:r>
        <w:rPr>
          <w:rFonts w:ascii="Times New Roman" w:cs="Times New Roman" w:eastAsia="Times New Roman" w:hAnsi="Times New Roman"/>
          <w:sz w:val="18"/>
          <w:szCs w:val="18"/>
          <w:color w:val="auto"/>
        </w:rPr>
        <w:t xml:space="preserve">for the applicable Exchange Window, that it has elected to defer causing an initial public offering or direct listing to become effective pursuant to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for a period of up to six (6) months (the “</w:t>
      </w:r>
      <w:r>
        <w:rPr>
          <w:rFonts w:ascii="Times New Roman" w:cs="Times New Roman" w:eastAsia="Times New Roman" w:hAnsi="Times New Roman"/>
          <w:sz w:val="18"/>
          <w:szCs w:val="18"/>
          <w:u w:val="single" w:color="auto"/>
          <w:color w:val="auto"/>
        </w:rPr>
        <w:t>Deferral Period</w:t>
      </w:r>
      <w:r>
        <w:rPr>
          <w:rFonts w:ascii="Times New Roman" w:cs="Times New Roman" w:eastAsia="Times New Roman" w:hAnsi="Times New Roman"/>
          <w:sz w:val="18"/>
          <w:szCs w:val="18"/>
          <w:color w:val="auto"/>
        </w:rPr>
        <w:t>”), provided that such written notice of the Deferral Period sets forth in reasonable detail the basis for InsuranceCo’s decision to defer the initial public offering or direct listing pursuant to this clause (v). For the avoidance of doubt, InsuranceCo shall continue to use its reasonable best efforts to take all actions required herein to prepare to effect such initial public offering or direct listing by the originally applicable deadline, and the foregoing deferral shall apply solely to the effectiveness of such initial public offering or direct listing. During the Deferral Period, InsuranceCo shall continue to use reasonable best efforts to effect at the earliest possible date, the initial public offering or direct listing. At the conclusion of such Deferral Period, the Initiating Holders will be entitled to make an additional demand.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3" w:name="page74"/>
    <w:bookmarkEnd w:id="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20" w:firstLine="645"/>
        <w:spacing w:after="0" w:line="251" w:lineRule="auto"/>
        <w:rPr>
          <w:sz w:val="20"/>
          <w:szCs w:val="20"/>
          <w:color w:val="auto"/>
        </w:rPr>
      </w:pPr>
      <w:r>
        <w:rPr>
          <w:rFonts w:ascii="Times New Roman" w:cs="Times New Roman" w:eastAsia="Times New Roman" w:hAnsi="Times New Roman"/>
          <w:sz w:val="18"/>
          <w:szCs w:val="18"/>
          <w:color w:val="auto"/>
        </w:rPr>
        <w:t xml:space="preserve">(c)            The Registration Statement filed pursuant to the request of the Initiating Holder may, subject to the provisions of </w:t>
      </w:r>
      <w:r>
        <w:rPr>
          <w:rFonts w:ascii="Times New Roman" w:cs="Times New Roman" w:eastAsia="Times New Roman" w:hAnsi="Times New Roman"/>
          <w:sz w:val="18"/>
          <w:szCs w:val="18"/>
          <w:u w:val="single" w:color="auto"/>
          <w:color w:val="auto"/>
        </w:rPr>
        <w:t>Section 2.1(d) </w:t>
      </w:r>
      <w:r>
        <w:rPr>
          <w:rFonts w:ascii="Times New Roman" w:cs="Times New Roman" w:eastAsia="Times New Roman" w:hAnsi="Times New Roman"/>
          <w:sz w:val="18"/>
          <w:szCs w:val="18"/>
          <w:color w:val="auto"/>
        </w:rPr>
        <w:t>below, include shares of InsuranceCo Common Units which are held by Holders and Persons who, by virtue of agreements with InsuranceCo (other than this Agreement), are entitled to include their securities in any such Registration (such Persons, other than Holders, “</w:t>
      </w:r>
      <w:r>
        <w:rPr>
          <w:rFonts w:ascii="Times New Roman" w:cs="Times New Roman" w:eastAsia="Times New Roman" w:hAnsi="Times New Roman"/>
          <w:sz w:val="18"/>
          <w:szCs w:val="18"/>
          <w:u w:val="single" w:color="auto"/>
          <w:color w:val="auto"/>
        </w:rPr>
        <w:t>Other Unitholders</w:t>
      </w:r>
      <w:r>
        <w:rPr>
          <w:rFonts w:ascii="Times New Roman" w:cs="Times New Roman" w:eastAsia="Times New Roman" w:hAnsi="Times New Roman"/>
          <w:sz w:val="18"/>
          <w:szCs w:val="18"/>
          <w:color w:val="auto"/>
        </w:rPr>
        <w:t xml:space="preserve">”). In the event the Initiating Holder(s) request a 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connection with a distribution of Registrable Securities to its partners or members or any other Holder elects to participate in such Registration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in connection with a distribution of Registrable Securities to its partners or members, the Registration shall provide for the resale by such partners or members, if requested by such Holder.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Underwriting</w:t>
      </w:r>
      <w:r>
        <w:rPr>
          <w:rFonts w:ascii="Times New Roman" w:cs="Times New Roman" w:eastAsia="Times New Roman" w:hAnsi="Times New Roman"/>
          <w:sz w:val="17"/>
          <w:szCs w:val="17"/>
          <w:color w:val="auto"/>
        </w:rPr>
        <w:t>. If the Initiating Holder(s) intend to distribute the Registrable Securities covered by their request by means of an underwriting,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they shall so advise InsuranceCo as a part of the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If Other Unitholders or Holders, to the extent they have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registration rights under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request inclusion of their shares of InsuranceCo Common Units in the underwriting, the Initiating Holder(s) shall offer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include the shares of InsuranceCo Common Units of such Holders and Other Unitholders in the underwriting and may condition such offer on their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acceptance of the further applicable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Holders whose Registrable Securities are to be included in such Registration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shall (together with all Other Unitholders proposing to distribute their shares of InsuranceCo Common Units through such underwriting) enter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an underwriting agreement in customary form for secondary public offerings with the managing underwriter or underwriters selected for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by a majority-in-interest of the Holders whose Registrable Securities are to be included in such Registration subject to approval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not to be unreasonably withheld (which underwriters may also include a non-bookrunning co-manager selected by InsuranceCo subject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approval by a majority-in-interest of the Holders whose Registrable Securities are to be included in such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initial public offering or direct listing of InsuranceCo, the managing underwriter or underwriters shall be selected by InsuranceCo subject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Initiating Holder(s) (such approval not to be unreasonably withheld, conditioned or delayed); provided, further, that such underwriting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shall not provide for indemnification or contribution obligations on the part of any Holder or Other Unitholder greater than the obligations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under </w:t>
      </w:r>
      <w:r>
        <w:rPr>
          <w:rFonts w:ascii="Times New Roman" w:cs="Times New Roman" w:eastAsia="Times New Roman" w:hAnsi="Times New Roman"/>
          <w:sz w:val="18"/>
          <w:szCs w:val="18"/>
          <w:u w:val="single" w:color="auto"/>
          <w:color w:val="auto"/>
        </w:rPr>
        <w:t>Section 2.7(b)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if the managing underwriter or underwriters advise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in writing that marketing factors require a limitation on the number of shares to be underwritten, some or all of the securities of InsuranceCo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the Other Unitholders shall be excluded from such Registration to the extent so required by such limitation. If, after the exclusion of such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such Other Unitholders, further reductions are still required due to the marketing limitation, the number of Registrable Securities included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by each Holder (including the Initiating Holder(s)) shall be reduced on a pro rata basis (based on the number of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to be included in such registration by such Holders), by such minimum number of shares as is necessary to comply with such request. No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Registrable Securities or any other securities excluded from the underwriting by reason of the underwriter’s marketing limitation shall be included in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If any Holder or Other Unitholder who has requested inclusion in such Registration as provided above disapproves of the terms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such Person may elect to withdraw therefrom by providing written notice to InsuranceCo, the underwriter and the Initiating Holder(s).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so withdrawn shall also be withdrawn from Registration. If the underwriter has not limited the number of Registrable Securities or other securities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underwritten, InsuranceCo and executive officers and directors of InsuranceCo (whether or not such Persons have registration rights pursuant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may include its or their securities for its or their own account in such Registration if the managing underwriter or underwriters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so agree and if the number of Registrable Securities and other securities which would otherwise have been included in such Registration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will not thereby be limited.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60" w:firstLine="645"/>
        <w:spacing w:after="0" w:line="249" w:lineRule="auto"/>
        <w:rPr>
          <w:sz w:val="20"/>
          <w:szCs w:val="20"/>
          <w:color w:val="auto"/>
        </w:rPr>
      </w:pPr>
      <w:r>
        <w:rPr>
          <w:rFonts w:ascii="Times New Roman" w:cs="Times New Roman" w:eastAsia="Times New Roman" w:hAnsi="Times New Roman"/>
          <w:sz w:val="18"/>
          <w:szCs w:val="18"/>
          <w:color w:val="auto"/>
        </w:rPr>
        <w:t xml:space="preserve">(e)            The number of demand registrations that the Holders shall be entitled to request, and that InsuranceCo shall be obligated to undertake,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unlimited;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InsuranceCo shall not be obligated to undertake more than three underwritten offerings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no event shall InsuranceCo be required to effect more than one underwritten offering in any twelve-month period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(f)            In the case of an underwritten offering under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the price, underwriting discount and other financial terms for the Registrable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shall be determined by the Initiating Holder(s) ; provided, that in the case of an initial public offering or direct listing of InsuranceCo, the offering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and other material financial terms shall require the consent of the Company and InsuranceCo (such consent not to be unreasonably withheld,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conditioned or delayed).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The Company hereby agrees that it shall and shall use its reasonable best efforts to cause InsuranceCo to cooperate in good faith and 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commercially reasonable efforts to comply with their respective obligations under this Agreement. If the Company receives a Demand Notice from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Initiating Holder(s) to effect any Registration with respect to all or a part of the Registrable Securities owned by such Initiating Holder(s),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shall use its reasonable best efforts to cause InsuranceCo to comply with such Demand Notice in accordance with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subject to the limitations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Company shall not take any action, or omit to take any action, that would contravene or circumvent the rights, preferences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obligations set forth in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(h)            No fewer than one hundred fifty (150) days prior to the commencement of each period of time during which a Holder may deliver an Exchange Notice under Section 10(a) of the Certificate of Designations (each an “</w:t>
      </w:r>
      <w:r>
        <w:rPr>
          <w:rFonts w:ascii="Times New Roman" w:cs="Times New Roman" w:eastAsia="Times New Roman" w:hAnsi="Times New Roman"/>
          <w:sz w:val="18"/>
          <w:szCs w:val="18"/>
          <w:u w:val="single" w:color="auto"/>
          <w:color w:val="auto"/>
        </w:rPr>
        <w:t>Exchange Window</w:t>
      </w:r>
      <w:r>
        <w:rPr>
          <w:rFonts w:ascii="Times New Roman" w:cs="Times New Roman" w:eastAsia="Times New Roman" w:hAnsi="Times New Roman"/>
          <w:sz w:val="18"/>
          <w:szCs w:val="18"/>
          <w:color w:val="auto"/>
        </w:rPr>
        <w:t>”), the Company and InsuranceCo shall deliver to the Holders a written notice setting forth in reasonable detail (i) InsuranceCo’s hypothetical timeline for, and structure of, the initial public offering or direct listing of InsuranceCo’s Common Units, including a target date for such initial public offering or direct listing to occur during the applicable Exchange Window (the “</w:t>
      </w:r>
      <w:r>
        <w:rPr>
          <w:rFonts w:ascii="Times New Roman" w:cs="Times New Roman" w:eastAsia="Times New Roman" w:hAnsi="Times New Roman"/>
          <w:sz w:val="18"/>
          <w:szCs w:val="18"/>
          <w:u w:val="single" w:color="auto"/>
          <w:color w:val="auto"/>
        </w:rPr>
        <w:t>Target IPO Date</w:t>
      </w:r>
      <w:r>
        <w:rPr>
          <w:rFonts w:ascii="Times New Roman" w:cs="Times New Roman" w:eastAsia="Times New Roman" w:hAnsi="Times New Roman"/>
          <w:sz w:val="18"/>
          <w:szCs w:val="18"/>
          <w:color w:val="auto"/>
        </w:rPr>
        <w:t>”) that would arise in the event such Exchange Notice were to be delivered and (ii) confirmation of whether the Company intends to call all outstanding Series A Preferred Shares held by the Holders prior to the next Exchange Window, and the timing and sources of financing for such repurchases. From the period such notice is received by the Holders through the last date of an Exchange Window, the Company, InsuranceCo and the Holders shall use their reasonable best efforts to evaluate and pursue an initial public offering or direct listing, with the assistance of appropriately qualified financial and legal advisors engaged by the Company, and cause InsuranceCo to successfully compete such an initial public offering or direct listing in a manner that gives effect to the Holders’ right to exchange of their shares of Series A Preferred Stock into InsuranceCo Common Units in accordance with Section 10 of the Certificate of Designations, and shall cooperate in good faith with the Holders in connection with, and keep the Holders reasonably apprised of, such efforts. Notwithstanding the foregoing, the Company, InsuranceCo and Holders representing at least a majority in interest of the Registrable Securities held by the Holders at the time in question may agree to defer any such InsuranceCo Exchange and the concurrent initial public offering or direct listing for an additional six (6) months or such other period of time as the parties mutually agree.  </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            In connection with any initial public offering or direct listing effected in accordance with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each party hereto shall, from time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at the reasonable request of any other party hereto and without further consideration, execute and deliver, or cause to be executed and delivered,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documents, instruments, conveyances, and assurances and take or cause to be taken such further actions as may be reasonably necessary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desirable to carry out the provisions of this Agreement and to give effect to the transactions contemplated hereby, including any initial public offering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listing.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2.2            </w:t>
      </w:r>
      <w:r>
        <w:rPr>
          <w:rFonts w:ascii="Times New Roman" w:cs="Times New Roman" w:eastAsia="Times New Roman" w:hAnsi="Times New Roman"/>
          <w:sz w:val="18"/>
          <w:szCs w:val="18"/>
          <w:u w:val="single" w:color="auto"/>
          <w:color w:val="000000"/>
        </w:rPr>
        <w:t>Piggyback Registration</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InsuranceCo shall determine to register any of its securities either (x) for its own account, (y) for the account of the Holders listed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pursuant to the terms thereof, or (z) for the account of Other Unitholders (other than (A) a Registration relating solely to Qualifying Employee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(B) a Registration relating solely to a Rule 145 transaction under the Securities Act or (C) a Registration on any Registration form which does not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 secondary sales or does not include substantially the same information as would be required to be included in a Registration Statement), InsuranceCo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subject to the conditions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40" w:hanging="643"/>
        <w:spacing w:after="0" w:line="249" w:lineRule="auto"/>
        <w:tabs>
          <w:tab w:leader="none" w:pos="1940"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give to each of the Holders a written notice thereof (which shall include a list of the jurisdictions in which InsuranceCo intends to attempt to qualify such securities under the applicable blue sky or other state securities laws); and</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line="249" w:lineRule="auto"/>
        <w:tabs>
          <w:tab w:leader="none" w:pos="1940"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2.2(b) </w:t>
      </w:r>
      <w:r>
        <w:rPr>
          <w:rFonts w:ascii="Times New Roman" w:cs="Times New Roman" w:eastAsia="Times New Roman" w:hAnsi="Times New Roman"/>
          <w:sz w:val="18"/>
          <w:szCs w:val="18"/>
          <w:color w:val="auto"/>
        </w:rPr>
        <w:t xml:space="preserve">below and any transfer restrictions any Holder may be a party to, include in such Registration (and any related qualification under blue sky laws or other compliance), and in any underwriting involved therein, all the Registrable Securities specified in a written request or requests, made by the Holders. Such written request may specify all or a part of the Holders’ Registrable Securities and shall be received by InsuranceCo within ten (10) days after written notice from InsuranceCo is given under </w:t>
      </w:r>
      <w:r>
        <w:rPr>
          <w:rFonts w:ascii="Times New Roman" w:cs="Times New Roman" w:eastAsia="Times New Roman" w:hAnsi="Times New Roman"/>
          <w:sz w:val="18"/>
          <w:szCs w:val="18"/>
          <w:u w:val="single" w:color="auto"/>
          <w:color w:val="auto"/>
        </w:rPr>
        <w:t>Section 2.2(a)(i) </w:t>
      </w:r>
      <w:r>
        <w:rPr>
          <w:rFonts w:ascii="Times New Roman" w:cs="Times New Roman" w:eastAsia="Times New Roman" w:hAnsi="Times New Roman"/>
          <w:sz w:val="18"/>
          <w:szCs w:val="18"/>
          <w:color w:val="auto"/>
        </w:rPr>
        <w:t xml:space="preserve">above. In the event any Holder requests inclusion in a Registration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 connection with a distribution of Registrable Securities to its partners or members, the Registration shall provide for the resale by such partners or members, if requested by such Holder.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Underwriting</w:t>
      </w:r>
      <w:r>
        <w:rPr>
          <w:rFonts w:ascii="Times New Roman" w:cs="Times New Roman" w:eastAsia="Times New Roman" w:hAnsi="Times New Roman"/>
          <w:sz w:val="18"/>
          <w:szCs w:val="18"/>
          <w:color w:val="auto"/>
        </w:rPr>
        <w:t xml:space="preserve">. If the Registration of which InsuranceCo gives notice is for a Registered public offering involving an underwriting, InsuranceCo shall so advise each of the Holders as a part of the written notice given pursuant to </w:t>
      </w:r>
      <w:r>
        <w:rPr>
          <w:rFonts w:ascii="Times New Roman" w:cs="Times New Roman" w:eastAsia="Times New Roman" w:hAnsi="Times New Roman"/>
          <w:sz w:val="18"/>
          <w:szCs w:val="18"/>
          <w:u w:val="single" w:color="auto"/>
          <w:color w:val="auto"/>
        </w:rPr>
        <w:t>Section 2.2(a)(i) </w:t>
      </w:r>
      <w:r>
        <w:rPr>
          <w:rFonts w:ascii="Times New Roman" w:cs="Times New Roman" w:eastAsia="Times New Roman" w:hAnsi="Times New Roman"/>
          <w:sz w:val="18"/>
          <w:szCs w:val="18"/>
          <w:color w:val="auto"/>
        </w:rPr>
        <w:t xml:space="preserve">above. In such event, the right of each of the Holders to Registration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conditioned upon such Holders’ participation in such underwriting and the inclusion of such Holders’ Registrable Securities in the underwriting to the extent provided herein. The Holders whose Registrable Securities are to be included in such Registration shall (together with InsuranceCo and the Other Unitholders distributing their securities through such underwriting) enter into an underwriting agreement in customary form for secondary public offerings with the managing underwriter or underwriters selected for underwriting by InsuranceCo (and if the Registration was initiated by a Holder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such underwriters must be selected by the Initiating Holder(s) and reasonably acceptable to InsuranceCo);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underwriting agreement shall not provide for indemnification or contribution obligations on the part of any Holder or Other Unitholder greater than the obligations of the Holders under </w:t>
      </w:r>
      <w:r>
        <w:rPr>
          <w:rFonts w:ascii="Times New Roman" w:cs="Times New Roman" w:eastAsia="Times New Roman" w:hAnsi="Times New Roman"/>
          <w:sz w:val="18"/>
          <w:szCs w:val="18"/>
          <w:u w:val="single" w:color="auto"/>
          <w:color w:val="auto"/>
        </w:rPr>
        <w:t>Section 2.7(b)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if any Registration in respect of which any Holder is exercising its rights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involves an underwritten public offering (other than a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which case the provisions with respect to priority of inclusion in such Registration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apply) and the managing underwriter or underwriters advise InsuranceCo that in their view marketing factors require a limitation on the number of securities to be underwritten, then there shall be included in such underwritten offering the number or dollar amount of securities of InsuranceCo that in the opinion of the managing underwriter or underwriters can be sold without adversely affecting such offering, and such number of securities of InsuranceCo shall be allocated for inclusion as follows: (i) first, all securities of InsuranceCo being sold by InsuranceCo for its own account or by any Person (other than a Holder) exercising a contractual right to demand registration; (ii) second, all Registrable Securities requested to be included by the Holders and securities of InsuranceCo being sold by any Person (other than a Holder) with similar piggyback registration rights, pro rata, based on the number of shares requested to be included in such registration by such Holders and such Persons; and (iii) third, among any other holders of securities of InsuranceCo requesting such registration, pro rata, based on the number of securities requested to be included in such registration by each such holder. For the avoidance of doubt, in the event any Initiating Holder exercises demand registration rights, such registration is an underwritten public offering and the managing underwriter advises that marketing factors require a limitation on the number of securities to be so underwritten, Registrable Securities of any Holders exercising piggyback rights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 connection with such offering and any securities to be included in such offering by the Initiating Holder(s) shall be included in such offering in the same priority and allocated on a pro rata basis, as set forth in clause (ii) above. If any of the Holders or any officer, director or Other Unitholder disapproves of the terms of any such underwriting, he, she or it may elect to withdraw therefrom by providing written notice to InsuranceCo, the underwriter and the Initiating Holder(s). Any Registrable Securities or other securities excluded or withdrawn from such underwriting shall be withdrawn from such Registration.  </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2.3            </w:t>
      </w:r>
      <w:r>
        <w:rPr>
          <w:rFonts w:ascii="Times New Roman" w:cs="Times New Roman" w:eastAsia="Times New Roman" w:hAnsi="Times New Roman"/>
          <w:sz w:val="18"/>
          <w:szCs w:val="18"/>
          <w:u w:val="single" w:color="auto"/>
          <w:color w:val="000000"/>
        </w:rPr>
        <w:t>Required Shelf Registration Statement</w:t>
      </w:r>
      <w:r>
        <w:rPr>
          <w:rFonts w:ascii="Times New Roman" w:cs="Times New Roman" w:eastAsia="Times New Roman" w:hAnsi="Times New Roman"/>
          <w:sz w:val="18"/>
          <w:szCs w:val="18"/>
          <w:color w:val="000000"/>
        </w:rPr>
        <w:t>. If InsuranceCo shall become eligible to use Form S-3 (or any successor form), if requested by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 InsuranceCo shall use reasonable best efforts to promptly, but within no later than ninety (90) days, file a Shelf Registration Statement on Form S-3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successor form) registering all Registrable Securities then held by the Holders (the “</w:t>
      </w:r>
      <w:r>
        <w:rPr>
          <w:rFonts w:ascii="Times New Roman" w:cs="Times New Roman" w:eastAsia="Times New Roman" w:hAnsi="Times New Roman"/>
          <w:sz w:val="18"/>
          <w:szCs w:val="18"/>
          <w:u w:val="single" w:color="auto"/>
          <w:color w:val="auto"/>
        </w:rPr>
        <w:t>Required Shelf Registration Statement</w:t>
      </w:r>
      <w:r>
        <w:rPr>
          <w:rFonts w:ascii="Times New Roman" w:cs="Times New Roman" w:eastAsia="Times New Roman" w:hAnsi="Times New Roman"/>
          <w:sz w:val="18"/>
          <w:szCs w:val="18"/>
          <w:color w:val="auto"/>
        </w:rPr>
        <w:t>”), and shall 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best efforts to cause such Required Shelf Registration Statement to be continuously effective so long as there are any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outstanding. In connection with the Required Shelf Registration Statement, InsuranceCo will, subject to the terms and limitations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promptly as reasonably practicable upon notice from any Holder requesting Registration in accordance with the terms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cooperate in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shelf take-down by amending or supplementing the Prospectus related to such Registration as may be reasonably requested by such Holder or as otherwise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reflect the number of Registrable Securities to be sold thereunder.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2.4            </w:t>
      </w:r>
      <w:r>
        <w:rPr>
          <w:rFonts w:ascii="Times New Roman" w:cs="Times New Roman" w:eastAsia="Times New Roman" w:hAnsi="Times New Roman"/>
          <w:sz w:val="17"/>
          <w:szCs w:val="17"/>
          <w:u w:val="single" w:color="auto"/>
          <w:color w:val="000000"/>
        </w:rPr>
        <w:t>Expenses of Registration</w:t>
      </w:r>
      <w:r>
        <w:rPr>
          <w:rFonts w:ascii="Times New Roman" w:cs="Times New Roman" w:eastAsia="Times New Roman" w:hAnsi="Times New Roman"/>
          <w:sz w:val="17"/>
          <w:szCs w:val="17"/>
          <w:color w:val="000000"/>
        </w:rPr>
        <w:t>. All Registration Expenses incurred in connection with any Registration, qualification or compliance pursuant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by InsuranceCo, and all Selling Expenses shall be borne by the Holders of the securities so registered pro rata on the basis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their shares so registered (or, in the case of fees and disbursements of counsel and advisors to any Holders that do not constitute Registration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by the Holders as incurred).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010000"/>
        </w:rPr>
        <w:t>2.5            </w:t>
      </w:r>
      <w:r>
        <w:rPr>
          <w:rFonts w:ascii="Times New Roman" w:cs="Times New Roman" w:eastAsia="Times New Roman" w:hAnsi="Times New Roman"/>
          <w:sz w:val="18"/>
          <w:szCs w:val="18"/>
          <w:u w:val="single" w:color="auto"/>
          <w:color w:val="000000"/>
        </w:rPr>
        <w:t>Black-Out Periods</w:t>
      </w:r>
      <w:r>
        <w:rPr>
          <w:rFonts w:ascii="Times New Roman" w:cs="Times New Roman" w:eastAsia="Times New Roman" w:hAnsi="Times New Roman"/>
          <w:sz w:val="18"/>
          <w:szCs w:val="18"/>
          <w:color w:val="000000"/>
        </w:rPr>
        <w:t>. Unless InsuranceCo otherwise permits in writing, for so long as a Participating Holder has an officer, director, partner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senior employee serving as a member of the Board of Directors of InsuranceCo, such Participating Holder shall not make any offers or sales of Registrable Securities under a Registration Statement during any Scheduled Black-Out Period.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2.6            </w:t>
      </w:r>
      <w:r>
        <w:rPr>
          <w:rFonts w:ascii="Times New Roman" w:cs="Times New Roman" w:eastAsia="Times New Roman" w:hAnsi="Times New Roman"/>
          <w:sz w:val="18"/>
          <w:szCs w:val="18"/>
          <w:u w:val="single" w:color="auto"/>
          <w:color w:val="000000"/>
        </w:rPr>
        <w:t>Registration Procedures</w:t>
      </w:r>
      <w:r>
        <w:rPr>
          <w:rFonts w:ascii="Times New Roman" w:cs="Times New Roman" w:eastAsia="Times New Roman" w:hAnsi="Times New Roman"/>
          <w:sz w:val="18"/>
          <w:szCs w:val="18"/>
          <w:color w:val="000000"/>
        </w:rPr>
        <w:t>. In the case of each Registration effected by InsuranceCo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w:t>
      </w:r>
      <w:r>
        <w:rPr>
          <w:rFonts w:ascii="Times New Roman" w:cs="Times New Roman" w:eastAsia="Times New Roman" w:hAnsi="Times New Roman"/>
          <w:sz w:val="18"/>
          <w:szCs w:val="18"/>
          <w:color w:val="000000"/>
        </w:rPr>
        <w:t>, InsuranceCo will keep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Holders advised in writing as to the initiation of each Registration and as to the completion thereof. At its expense, InsuranceCo will: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0" w:firstLine="645"/>
        <w:spacing w:after="0" w:line="251" w:lineRule="auto"/>
        <w:rPr>
          <w:sz w:val="20"/>
          <w:szCs w:val="20"/>
          <w:color w:val="auto"/>
        </w:rPr>
      </w:pPr>
      <w:r>
        <w:rPr>
          <w:rFonts w:ascii="Times New Roman" w:cs="Times New Roman" w:eastAsia="Times New Roman" w:hAnsi="Times New Roman"/>
          <w:sz w:val="18"/>
          <w:szCs w:val="18"/>
          <w:color w:val="auto"/>
        </w:rPr>
        <w:t>(a)            as promptly as practicable, prepare and file with the SEC such pre- and post-effective amendments to such Registration Statement, supplements to the Prospectus and such amendments or supplements to any Issuer Free Writing Prospectus as may be (i) reasonably requested by the Initiating Holder(s) (if any), (ii) reasonably requested by any other Participating Holder (to the extent such request relates to information relating to such Participating Holder), or (iii)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  </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83" w:name="page84"/>
    <w:bookmarkEnd w:id="8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5"/>
        <w:spacing w:after="0" w:line="250" w:lineRule="auto"/>
        <w:rPr>
          <w:sz w:val="20"/>
          <w:szCs w:val="20"/>
          <w:color w:val="auto"/>
        </w:rPr>
      </w:pPr>
      <w:r>
        <w:rPr>
          <w:rFonts w:ascii="Times New Roman" w:cs="Times New Roman" w:eastAsia="Times New Roman" w:hAnsi="Times New Roman"/>
          <w:sz w:val="18"/>
          <w:szCs w:val="18"/>
          <w:color w:val="auto"/>
        </w:rPr>
        <w:t>(b)            notify the Participating Holders and the managing underwriter or underwriters, if any, and (if requested) confirm such advice in writing and provide copies of the relevant documents, as promptly as reasonably practicable after notice thereof is received by InsuranceCo (i) when the applicable Registration Statement or any amendment thereto has been filed or becomes effective, and when the applicable Prospectus or Issuer Free Writing Prospectus or any amendment or supplement thereto has been filed, (ii) to the extent any of the following relates to the Participating Holders or information supplied by the Participating Holders, of any written comments by the SEC or any request by the SEC or any other federal or state governmental authority for amendments or supplements to such Registration Statement, Prospectus or Issuer Free Writing Prospectus or for additional information, (iii) of the issuance by the SEC of any stop order suspending the effectiveness of such Registration Statement or any order by the SEC or any other regulatory authority preventing or suspending the use of any Prospectus or any Issuer Free Writing Prospectus or the initiation or threatening of any proceedings for such purposes, (iv) if, at any time, the representations and warranties of InsuranceCo in any applicable underwriting agreement cease to be true and correct in all material respects, and (v) of the receipt by InsuranceCo or either of their respective legal counsels of any notification with respect to the suspension of the qualification of the Registrable Securities for offering or sale in any jurisdiction or the initiation or threatening of any proceeding for such purpose;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promptly notify the Participating Holders and the managing underwriter or underwriters, if any, when InsuranceCo becomes aware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happening of any event as a result of which the applicable Registration Statement, the Prospectus included in such Registration Statement (as then in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Issuer Free Writing Prospectus contains any untrue statement of a material fact or omits to state a material fact required to be stated therein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in order to make the statements therein (in the case of such Prospectus or any Issuer Free Writing Prospectus, in light of the circumstances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they were made) not misleading, and when any Issuer Free Writing Prospectus includes information that may conflict with the information contained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Registration Statement, or, if for any other reason it shall be necessary during such time period to amend or supplement such Registration Statement,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or Issuer Free Writing Prospectus in order to comply with the Securities Act and, in either case as promptly as reasonably practicable thereafter,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prepare and file with the SEC, and furnish without charge to the Participating Holders and the managing underwriter or underwriters, if any, an amendment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supplement to such Registration Statement, Prospectus or Issuer Free Writing Prospectus which shall correct such misstatement or omission or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compliance;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use its reasonable best efforts to prevent, or obtain the withdrawal of, any stop order or other order suspending the use of any Prospectus 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Issuer Free Writing Prospectus;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deliver to each Participating Holder and each underwriter, if any, without charge, as many copies of the applicable Prospectus (including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preliminary Prospectus), any Issuer Free Writing Prospectus and any amendment or supplement thereto as such Participating Holder or underwriter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reasonably request (it being understood that InsuranceCo consents to the use of such Prospectus, any Issuer Free Writing Prospectus and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or supplement thereto by such Holder and the underwriters, if any, in connection with the offering and sale of the Registrable Securities thereby)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such other documents as such Participating Holder or underwriter may reasonably request in order to facilitate the disposition of the Registrable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by such Participating Holder or underwriter;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5"/>
        <w:spacing w:after="0" w:line="250" w:lineRule="auto"/>
        <w:rPr>
          <w:sz w:val="20"/>
          <w:szCs w:val="20"/>
          <w:color w:val="auto"/>
        </w:rPr>
      </w:pPr>
      <w:r>
        <w:rPr>
          <w:rFonts w:ascii="Times New Roman" w:cs="Times New Roman" w:eastAsia="Times New Roman" w:hAnsi="Times New Roman"/>
          <w:sz w:val="18"/>
          <w:szCs w:val="18"/>
          <w:color w:val="auto"/>
        </w:rPr>
        <w:t xml:space="preserve">(f)            subject to the terms set forth in </w:t>
      </w:r>
      <w:r>
        <w:rPr>
          <w:rFonts w:ascii="Times New Roman" w:cs="Times New Roman" w:eastAsia="Times New Roman" w:hAnsi="Times New Roman"/>
          <w:sz w:val="18"/>
          <w:szCs w:val="18"/>
          <w:u w:val="single" w:color="auto"/>
          <w:color w:val="auto"/>
        </w:rPr>
        <w:t>Section 2.1(b)(i)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on or prior to the date on which the applicable Registration Statement is declared effective, use its reasonable best efforts to register or qualify the Registrable Securities covered by such Registration Statement under such other securities or “blue sky” laws of such jurisdictions in the United States as any Participating Holder reasonably (in light of such Participating Holder’s intended plan of distribution) requests and do any and all other acts and things that may be reasonably necessary or advisable to enable such Participating Holder to consummate the disposition of the Registrable Securities owned by such Participating Holder pursuant to such Registration Statement, except that InsuranceCo shall not for any such purpose be required to qualify generally to do business as a foreign corporation in any jurisdiction where it is not so qualified, subject itself to taxation in any such jurisdiction or consent to general service of process in any such jurisdiction;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make such representations and warranties to the Participating Holders and the underwriters or agents, if any, in form, substance and scope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customarily made by issuers in underwritten public offerings;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enter into such customary agreements (including underwriting and indemnification agreements) and take such other actions as the Initiating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or the managing underwriter, if any, reasonably requests in order to expedite or facilitate the Registration and disposition of such Registrable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0" w:firstLine="645"/>
        <w:spacing w:after="0" w:line="253" w:lineRule="auto"/>
        <w:rPr>
          <w:sz w:val="20"/>
          <w:szCs w:val="20"/>
          <w:color w:val="auto"/>
        </w:rPr>
      </w:pPr>
      <w:r>
        <w:rPr>
          <w:rFonts w:ascii="Times New Roman" w:cs="Times New Roman" w:eastAsia="Times New Roman" w:hAnsi="Times New Roman"/>
          <w:sz w:val="18"/>
          <w:szCs w:val="18"/>
          <w:color w:val="auto"/>
        </w:rPr>
        <w:t>(i)            use its reasonable best efforts to obtain for delivery to the managing underwriter, if any, an opinion or opinions from counsel for InsuranceCo dated the effective date of the Registration Statement or, in the event of an underwritten offering, the date of the closing under the underwriting agreement, in form and substance as is customarily given to underwriters in an underwritten secondary public offering;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in the case of an underwritten offering, use reasonable best efforts to obtain for delivery to InsuranceCo and the managing underwriter, if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“comfort” letter from InsuranceCo’s independent certified public accountants in form and substance as is customarily given by independent certified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accountants in an underwritten secondary public offering;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cooperate with each Participating Holder and the underwriters, if any, of such Registrable Securities and their respective counsel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any filings required to be made with FINRA;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20" w:firstLine="645"/>
        <w:spacing w:after="0" w:line="252" w:lineRule="auto"/>
        <w:rPr>
          <w:sz w:val="20"/>
          <w:szCs w:val="20"/>
          <w:color w:val="auto"/>
        </w:rPr>
      </w:pPr>
      <w:r>
        <w:rPr>
          <w:rFonts w:ascii="Times New Roman" w:cs="Times New Roman" w:eastAsia="Times New Roman" w:hAnsi="Times New Roman"/>
          <w:sz w:val="18"/>
          <w:szCs w:val="18"/>
          <w:color w:val="auto"/>
        </w:rPr>
        <w:t>(l)            use its reasonable best efforts to cause all Registrable Securities covered by the applicable Registration Statement to be listed or quoted on a national securities exchange or trading system and each securities exchange and trading system (if any) on which similar securities issued by InsuranceCo are then listed; provided that InsuranceCo will not be deemed to be in breach of this clause (l) to the extent that InsuranceCo’s failure to achieve the minimum listing standards of the requested Exchange is caused by any action or inaction of any Participating Holder;  </w:t>
      </w:r>
    </w:p>
    <w:p>
      <w:pPr>
        <w:spacing w:after="0" w:line="206" w:lineRule="exact"/>
        <w:rPr>
          <w:sz w:val="20"/>
          <w:szCs w:val="20"/>
          <w:color w:val="auto"/>
        </w:rPr>
      </w:pPr>
    </w:p>
    <w:p>
      <w:pPr>
        <w:ind w:right="260" w:firstLine="645"/>
        <w:spacing w:after="0" w:line="258" w:lineRule="auto"/>
        <w:rPr>
          <w:sz w:val="20"/>
          <w:szCs w:val="20"/>
          <w:color w:val="auto"/>
        </w:rPr>
      </w:pPr>
      <w:r>
        <w:rPr>
          <w:rFonts w:ascii="Times New Roman" w:cs="Times New Roman" w:eastAsia="Times New Roman" w:hAnsi="Times New Roman"/>
          <w:sz w:val="18"/>
          <w:szCs w:val="18"/>
          <w:color w:val="auto"/>
        </w:rPr>
        <w:t>(m)            cooperate with the Participating Holders and the underwriters, if any, to facilitate the timely preparation and delivery of certificates, with requisite CUSIP numbers, representing Registrable Securities to be sold and not bearing any restrictive legends;  </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320" w:firstLine="645"/>
        <w:spacing w:after="0" w:line="253" w:lineRule="auto"/>
        <w:rPr>
          <w:sz w:val="20"/>
          <w:szCs w:val="20"/>
          <w:color w:val="auto"/>
        </w:rPr>
      </w:pPr>
      <w:r>
        <w:rPr>
          <w:rFonts w:ascii="Times New Roman" w:cs="Times New Roman" w:eastAsia="Times New Roman" w:hAnsi="Times New Roman"/>
          <w:sz w:val="18"/>
          <w:szCs w:val="18"/>
          <w:color w:val="auto"/>
        </w:rPr>
        <w:t>(n)            in the case of an underwritten offering, make reasonably available the senior executive officers of InsuranceCo to participate in the customary “road show” presentations that may be reasonably requested by the managing underwriter in any such underwritten offering and otherwise to facilitate, cooperate with, and participate in each proposed offering contemplated herein and customary selling efforts related thereto;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use its reasonable best efforts to procure the cooperation of InsuranceCo’s transfer agent in settling any offering or sale of Registrable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including with respect to the transfer of physical security instruments into book-entry form in accordance with any procedures reasonably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by the Holders or any managing underwriter(s);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            use its reasonable best efforts to take such actions as are under its control to become or remain a well-known seasoned issuer (as such term 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Rule 405 under the Securities Act) and not become an ineligible issuer (as such term is defined in Rule 405 under the Securities Act) during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when such Registration Statement remains in effect;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60" w:firstLine="645"/>
        <w:spacing w:after="0" w:line="250" w:lineRule="auto"/>
        <w:rPr>
          <w:sz w:val="20"/>
          <w:szCs w:val="20"/>
          <w:color w:val="auto"/>
        </w:rPr>
      </w:pPr>
      <w:r>
        <w:rPr>
          <w:rFonts w:ascii="Times New Roman" w:cs="Times New Roman" w:eastAsia="Times New Roman" w:hAnsi="Times New Roman"/>
          <w:sz w:val="18"/>
          <w:szCs w:val="18"/>
          <w:color w:val="auto"/>
        </w:rPr>
        <w:t>(q)            make available for inspection by a representative of Participating Holders that are selling at least five percent (5%) of the Registrable Securities included in such Registration (and who is named in the applicable prospectus supplement as a Person who may be deemed to be an underwriter with respect to an offering and sale of Registrable Securities), the managing underwriter(s), if any, and any attorneys or accountants retained by such Holders or the managing underwriters(s), at the offices where normally kept, during reasonable business hours, financial and other records and pertinent corporate documents of InsuranceCo, and cause the officers, directors and employees of InsuranceCo to supply all information in each case reasonably requested by any such representative, managing underwriter, attorney or accountant in connection with such Registration Statement; provided, that if any such information is identified by InsuranceCo as being confidential or proprietary, each Person receiving such information shall take such actions as are reasonably necessary to protect the confidentiality of such information and shall sign customary confidentiality agreements reasonably requested by InsuranceCo prior to the receipt of such information. Notwithstanding the foregoing, InsuranceCo shall not be required to provide access to any information if doing so would reasonably be expected to waive privilege, violate applicable law or contractual confidentiality obligations, result in disclosure of competitively sensitive information, or adversely affect InsuranceCo or the Company, provided that InsuranceCo shall use reasonable best efforts to make appropriate substitute arrangements in a manner that avoids or reasonably mitigates any such waiver, violation or disclosure or adverse effect.  </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89" w:name="page90"/>
    <w:bookmarkEnd w:id="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2.7            </w:t>
      </w:r>
      <w:r>
        <w:rPr>
          <w:rFonts w:ascii="Times New Roman" w:cs="Times New Roman" w:eastAsia="Times New Roman" w:hAnsi="Times New Roman"/>
          <w:sz w:val="18"/>
          <w:szCs w:val="18"/>
          <w:u w:val="single" w:color="auto"/>
          <w:color w:val="000000"/>
        </w:rPr>
        <w:t>Indemnification</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Indemnification by InsuranceCo</w:t>
      </w:r>
      <w:r>
        <w:rPr>
          <w:rFonts w:ascii="Times New Roman" w:cs="Times New Roman" w:eastAsia="Times New Roman" w:hAnsi="Times New Roman"/>
          <w:sz w:val="18"/>
          <w:szCs w:val="18"/>
          <w:color w:val="auto"/>
        </w:rPr>
        <w:t xml:space="preserve">. With respect to each Registration which has been effected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each of InsuranceCo and the Company agree to indemnify and hold harmless, to the fullest extent permitted by law, (i) each of the Participating Holders and each of its officers, directors, limited or general partners and members thereof, (ii) each member, limited or general partner of each such member, limited or general partner, (iii) each of their respective Affiliates, officers, directors, shareholders, employees, advisors, and agents and each Person who controls (within the meaning of the Securities Act or the Exchange Act) such Persons and each underwriter, if any, and each person who controls (within the meaning of the Securities Act or the Exchange Act) any underwriter, against any and all claims, losses, damages, penalties, judgments, suits, costs, liabilities and out-of-pocket expenses (or actions in respect thereof) (collectively, the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arising out of or based on (A) any untrue statement (or alleged untrue statement) of a material fact contained in any Registration Statement (including any Prospectus or Issuer Free Writing Prospectus) or any other document incident to any such Registration, qualification or compliance, (B) any omission (or alleged omission) to state therein a material fact required to be stated therein or necessary to make the statements therein not misleading (in the case of any Prospectus or Issuer Free Writing Prospectus, in light of the circumstances under which they were made not misleading), or (C) any violation by InsuranceCo or the Company, as applicable, of the Securities Act or the Exchange Act applicable to InsuranceCo and relating to action or inaction required of InsuranceCo in connection with any such Registration, qualification or compliance, and will reimburse each of the Persons listed above for any reasonable and documented legal and any other out-of-pocket expenses reasonably incurred in connection with investigating and defending any such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InsuranceCo nor the Company, as applicable, will be liable in any such case to the extent that any such Losses arise out of or are based on any untrue statement or omission based upon written information furnished to InsuranceCo or the Company, as applicable, by the Participating Holders or underwriter and stated to be specifically for use therein.  </w:t>
      </w:r>
    </w:p>
    <w:p>
      <w:pPr>
        <w:spacing w:after="0" w:line="4" w:lineRule="exact"/>
        <w:rPr>
          <w:sz w:val="20"/>
          <w:szCs w:val="20"/>
          <w:color w:val="auto"/>
        </w:rPr>
      </w:pPr>
    </w:p>
    <w:p>
      <w:pPr>
        <w:ind w:right="140" w:firstLine="645"/>
        <w:spacing w:after="0" w:line="24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the Participating Holders</w:t>
      </w:r>
      <w:r>
        <w:rPr>
          <w:rFonts w:ascii="Times New Roman" w:cs="Times New Roman" w:eastAsia="Times New Roman" w:hAnsi="Times New Roman"/>
          <w:sz w:val="18"/>
          <w:szCs w:val="18"/>
          <w:color w:val="auto"/>
        </w:rPr>
        <w:t xml:space="preserve">. Each of the Participating Holders agrees (severally and not jointly) to indemnify and hold harmless, to the fullest extent permitted by law, InsuranceCo and each of its directors and officers and each underwriter, if any, of InsuranceCo’s securities covered by such a Registration Statement, each Person who controls InsuranceCo (within the meaning of the Securities Act or the Exchange Act) or such underwriter, each other Participating Holder and each of their respective officers, directors, partners and members, and each Person controlling such Participating Holder (within the meaning of the Securities Act or the Exchange Act) against any and all Losses arising out of or based on (A) any untrue statement (or alleged untrue statement) of a material fact contained in any Registration Statement (including any Prospectus or Issuer Free Writing Prospectus) or any other document incident to any such Registration, qualification or compliance (including any notification or the like) made by such Participating Holder in writing or (B) any omission (or alleged omission) to state therein a material fact required to be stated therein or necessary to make the statements by such Participating Holder therein not misleading (in the case of any Prospectus or Issuer Free Writing Prospectus, in light of the circumstances under which they were made not misleading) and will reimburse the Persons listed above for any reasonable and documented legal or any other out-of-pocket expenses reasonably incurred in connection with investigating or defending any such Losses, in each case to the extent, but only to the extent, that such untrue statement (or alleged untrue statement) or omission (or alleged omission) is made in reliance upon and in conformity with written information furnished to InsuranceCo by such Participating Holder and stated to be specifically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obligations of each of the Participating Holders hereunder shall be limited to an amount equal to the net proceeds (after giving effect to any underwriters, discounts and commissions) such Participating Holder receives in such Registration.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91" w:name="page92"/>
    <w:bookmarkEnd w:id="9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Conduct of the Indemnification Proceedings</w:t>
      </w:r>
      <w:r>
        <w:rPr>
          <w:rFonts w:ascii="Times New Roman" w:cs="Times New Roman" w:eastAsia="Times New Roman" w:hAnsi="Times New Roman"/>
          <w:sz w:val="17"/>
          <w:szCs w:val="17"/>
          <w:color w:val="auto"/>
        </w:rPr>
        <w:t xml:space="preserve">. Each party entitled to indemnification under this </w:t>
      </w:r>
      <w:r>
        <w:rPr>
          <w:rFonts w:ascii="Times New Roman" w:cs="Times New Roman" w:eastAsia="Times New Roman" w:hAnsi="Times New Roman"/>
          <w:sz w:val="17"/>
          <w:szCs w:val="17"/>
          <w:u w:val="single" w:color="auto"/>
          <w:color w:val="auto"/>
        </w:rPr>
        <w:t>Section 2.7(c)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shall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notice to the party required to provide indemnification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promptly after such Indemnified Party has actual knowledge of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as to which indemnity may be sought, and shall permit the Indemnifying Party to assume the defense of any such claim or any litigation resulting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counsel for the Indemnifying Party, who shall conduct the defense of such claim or any litigation resulting therefrom, shall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Indemnified Party (whose approval shall not unreasonably be withheld) and the Indemnified Party may participate in such defense at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party’s expense (unless the Indemnified Party shall have reasonably concluded that there may be a conflict of interest between the Indemnifying Party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Indemnified Party in such action, in which case the fees and expenses of counsel shall be at the expense of the Indemnifying Party),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of any Indemnified Party to give notice as provided herein shall not relieve the Indemnifying Party of its obligations under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unless the Indemnifying Party is prejudiced thereby. It is understood and agreed that the Indemnifying Party shall not, in connection with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or related proceeding in the same jurisdiction, be liable for the fees and expenses of more than one separate legal counsel for all Indemnified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where the failure to be provided separate legal counsel could potentially result in a conflict of interest on the part of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counsel for all Indemnified Parties, separate counsel shall be appointed for Indemnified Parties to the extent needed to alleviate such potential conflict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interest. No Indemnifying Party, in the defense of any such claim or litigation shall, except with the prior written consent of each Indemnified Party,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to entry of any judgment or enter into any settlement which does not include as an unconditional term thereof the giving by the claimant or plaintiff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Indemnified Party of a release from all liability in respect to such claim or litigation. Each Indemnified Party shall furnish such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itself or the claim in question as an Indemnifying Party may reasonably request in writing and as shall be reasonably required in connection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defense of such claim and litigation resulting therefrom.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 xml:space="preserve">(d)            If the indemnification provided for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is held by a court of competent jurisdiction to be unavailable to an Indemnified Party with respect to any Losses, then the Indemnifying Party, in lieu of indemnifying such Indemnified Party hereunder, shall contribute to the amount paid or payable by such Indemnified Party as a result of such Losses in such proportion as is appropriate to reflect the relative fault of the Indemnifying Party on the one hand and of the Indemnified Party on the other in connection with the statements or omissions (or alleged statements or omissions) which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obligations of each of the Participating Holders hereunder shall be several and not joint and shall be limited to an amount equal to the net proceeds (after giving effect to any underwriters, discounts and commissions) such Participating Holder receives in such Registration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Person guilty of fraudulent misrepresentation (within the meaning of Section 11.6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each Person, if any, who controls an underwriter or agent within the meaning of Section 15 of the Securities Act shall have the same rights to contribution as such underwriter or agent and each director of InsuranceCo, each officer of InsuranceCo who signed a Registration Statement, and each Person, if any, who controls InsuranceCo or a selling Holder within the meaning of Section 15 of the Securities Act shall have the same rights to contribution as InsuranceCo or such selling Holder, as the case may be.  </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(e)            Subject to the limitations on the Holders’ liability set forth in </w:t>
      </w:r>
      <w:r>
        <w:rPr>
          <w:rFonts w:ascii="Times New Roman" w:cs="Times New Roman" w:eastAsia="Times New Roman" w:hAnsi="Times New Roman"/>
          <w:sz w:val="17"/>
          <w:szCs w:val="17"/>
          <w:u w:val="single" w:color="auto"/>
          <w:color w:val="auto"/>
        </w:rPr>
        <w:t>Section 2.7(b)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Section 2.7(d)</w:t>
      </w:r>
      <w:r>
        <w:rPr>
          <w:rFonts w:ascii="Times New Roman" w:cs="Times New Roman" w:eastAsia="Times New Roman" w:hAnsi="Times New Roman"/>
          <w:sz w:val="17"/>
          <w:szCs w:val="17"/>
          <w:color w:val="auto"/>
        </w:rPr>
        <w:t xml:space="preserve">, the remedies provided for in this </w:t>
      </w:r>
      <w:r>
        <w:rPr>
          <w:rFonts w:ascii="Times New Roman" w:cs="Times New Roman" w:eastAsia="Times New Roman" w:hAnsi="Times New Roman"/>
          <w:sz w:val="17"/>
          <w:szCs w:val="17"/>
          <w:u w:val="single" w:color="auto"/>
          <w:color w:val="auto"/>
        </w:rPr>
        <w:t>Section 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exclusive and shall not limit any rights or remedies which may otherwise be available to any Indemnified Party at law or equity. The remedies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 in full force and effect regardless of any investigation made by or on behalf of such Holder or any Indemnified Party and survive the transfer of such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by such Holder.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obligations of InsuranceCo and of the Participating Holders hereunder to indemnify any underwriter or agent who participates in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(or any Person, if any controlling such underwriter or agent within the meaning of Section 15 of the Securities Act) shall be conditioned upon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or agency agreement with such underwriter or agent containing an agreement by such underwriter or agent to indemnify and hold harmless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each of its directors and officers, each other Participating Holder, and each Person who controls InsuranceCo (within the meaning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or the Exchange Act) or such Participating Holder against all Losses, but only with respect to untrue statements or omissions, or alleged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untrue statements or omissions, made in the Registration Statement (or any amendment thereto), or any preliminary prospectus or the Prospectus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supplement thereto) in reliance upon and in conformity with written information furnished to InsuranceCo by such underwriter or 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for use in such filings described in this sentence.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2.8            </w:t>
      </w:r>
      <w:r>
        <w:rPr>
          <w:rFonts w:ascii="Times New Roman" w:cs="Times New Roman" w:eastAsia="Times New Roman" w:hAnsi="Times New Roman"/>
          <w:sz w:val="18"/>
          <w:szCs w:val="18"/>
          <w:u w:val="single" w:color="auto"/>
          <w:color w:val="000000"/>
        </w:rPr>
        <w:t>Participating Holders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60" w:firstLine="645"/>
        <w:spacing w:after="0" w:line="253" w:lineRule="auto"/>
        <w:rPr>
          <w:sz w:val="20"/>
          <w:szCs w:val="20"/>
          <w:color w:val="auto"/>
        </w:rPr>
      </w:pPr>
      <w:r>
        <w:rPr>
          <w:rFonts w:ascii="Times New Roman" w:cs="Times New Roman" w:eastAsia="Times New Roman" w:hAnsi="Times New Roman"/>
          <w:sz w:val="18"/>
          <w:szCs w:val="18"/>
          <w:color w:val="auto"/>
        </w:rPr>
        <w:t xml:space="preserve">(a)            Each of the Participating Holders shall furnish to InsuranceCo such information regarding such Participating Holder and its partners and members, and the distribution proposed by such Holder, as InsuranceCo may reasonably request in writing and as shall be reasonably requested in connection with any Registration, qualification or compliance referred to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 xml:space="preserve">(b)            The obligations of InsuranceCo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any filing, effectiveness or other timing obligations, shall be tolled, and InsuranceCo shall not be deemed to be in breach of this Agreement, in each case to the extent any delay results from the failure of any Participating Holder to provide on a timely basis any information or cooperation reasonably requested by InsuranceCo, its counsel, the managing underwriter or any applicable governmental authority in connection with the applicable Registration or offering, provided that (i) InsuranceCo shall cooperate in good faith to promptly resolve the basis of any Participating Holder’s withholding or delay of such information or cooperation and (ii) in the event this Agreement is tolled with respect to any particular Registration or offering for more than a total of forty-five (45) days in the aggregate as a result of any Participating Holder(s) failure to provide such information or cooperation, a majority-in-interest of Registrable Securities held by the Participating Holders in such Registration or offering may elect to proceed without such non-cooperating Participating Holder(s), which shall each be deemed to have waived its right to participate in such Registration or offering (but not in respect of any future Registrations or offerings).  </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5" w:name="page96"/>
    <w:bookmarkEnd w:id="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In the event that, either immediately prior to or subsequent to the effectiveness of any Registration Statement, any Participating Holder shall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 Registrable Securities to its partners or members, such Participating Holder shall so advise InsuranceCo and provide such information as shall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permit an amendment to such Registration Statement to provide information with respect to such partners or members, as selling security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As soon as is reasonably practicable following receipt of such information, InsuranceCo shall file an appropriate amendment to such Registration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reflecting the information so provided. Any incremental expense to InsuranceCo resulting from such amendment shall be borne by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Holder.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 xml:space="preserve">(d)            Each Holder agrees that at the time that such Holder is a Participating Holder, upon receipt of any notice from InsuranceCo of the happening of any event of the kind described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such Holder shall forthwith discontinue disposition of Registrable Securities pursuant to the Registration Statement covering such Registrable Securities until such Holder’s receipt of the copies of a supplemented or amended Prospectus or Issuer Free Writing Prospectus or until such Holder is advised in writing by InsuranceCo that the use of the Prospectus or Issuer Free Writing Prospectus, as the case may be, may be resumed, and, if so directed by InsuranceCo, such Holder shall deliver to InsuranceCo all copies, other than any permanent file copies then in such Holder’s possession, of the most recent Prospectus or any Issuer Free Writing Prospectus covering such Registrable Securities at the time of receipt of such notice. If InsuranceCo shall give such notice, InsuranceCo shall extend the period during which such Registration Statement shall be maintained effective by the number of days during the period from and including the date of the giving of notice pursuant to </w:t>
      </w:r>
      <w:r>
        <w:rPr>
          <w:rFonts w:ascii="Times New Roman" w:cs="Times New Roman" w:eastAsia="Times New Roman" w:hAnsi="Times New Roman"/>
          <w:sz w:val="18"/>
          <w:szCs w:val="18"/>
          <w:u w:val="single" w:color="auto"/>
          <w:color w:val="auto"/>
        </w:rPr>
        <w:t>Section 2.6(c) </w:t>
      </w:r>
      <w:r>
        <w:rPr>
          <w:rFonts w:ascii="Times New Roman" w:cs="Times New Roman" w:eastAsia="Times New Roman" w:hAnsi="Times New Roman"/>
          <w:sz w:val="18"/>
          <w:szCs w:val="18"/>
          <w:color w:val="auto"/>
        </w:rPr>
        <w:t>to the date when InsuranceCo shall make available to such Holder a copy of the supplement or amended Prospectus or Issuer Free Writing Prospectus or is advised in writing that the use of the Prospectus or Issuer Free Writing Prospectus may be resumed.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2.9            </w:t>
      </w:r>
      <w:r>
        <w:rPr>
          <w:rFonts w:ascii="Times New Roman" w:cs="Times New Roman" w:eastAsia="Times New Roman" w:hAnsi="Times New Roman"/>
          <w:sz w:val="17"/>
          <w:szCs w:val="17"/>
          <w:u w:val="single" w:color="auto"/>
          <w:color w:val="000000"/>
        </w:rPr>
        <w:t>Rule 144</w:t>
      </w:r>
      <w:r>
        <w:rPr>
          <w:rFonts w:ascii="Times New Roman" w:cs="Times New Roman" w:eastAsia="Times New Roman" w:hAnsi="Times New Roman"/>
          <w:sz w:val="17"/>
          <w:szCs w:val="17"/>
          <w:color w:val="000000"/>
        </w:rPr>
        <w:t>. With a view to making available the benefits of certain rules and regulations of the SEC which may permit the sale of restricted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the public without Registration, InsuranceCo agrees to use its reasonable best efforts to file with the SEC in a timely manner all reports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documents required of InsuranceCo under the Securities Act and the Exchange Act at any time after it has become subject to such reporting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(or, if InsuranceCo is not required to file such reports, it will, upon the reasonable request of the Holders holding a majority of the then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Registrable Securities, make publicly available such necessary information for so long as necessary to permit sales pursuant to Rule 144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 w:firstLine="645"/>
        <w:spacing w:after="0" w:line="258" w:lineRule="auto"/>
        <w:rPr>
          <w:sz w:val="20"/>
          <w:szCs w:val="20"/>
          <w:color w:val="auto"/>
        </w:rPr>
      </w:pPr>
      <w:r>
        <w:rPr>
          <w:rFonts w:ascii="Times New Roman" w:cs="Times New Roman" w:eastAsia="Times New Roman" w:hAnsi="Times New Roman"/>
          <w:sz w:val="18"/>
          <w:szCs w:val="18"/>
          <w:color w:val="010000"/>
        </w:rPr>
        <w:t>2.10            </w:t>
      </w:r>
      <w:r>
        <w:rPr>
          <w:rFonts w:ascii="Times New Roman" w:cs="Times New Roman" w:eastAsia="Times New Roman" w:hAnsi="Times New Roman"/>
          <w:sz w:val="18"/>
          <w:szCs w:val="18"/>
          <w:u w:val="single" w:color="auto"/>
          <w:color w:val="000000"/>
        </w:rPr>
        <w:t>Termination</w:t>
      </w:r>
      <w:r>
        <w:rPr>
          <w:rFonts w:ascii="Times New Roman" w:cs="Times New Roman" w:eastAsia="Times New Roman" w:hAnsi="Times New Roman"/>
          <w:sz w:val="18"/>
          <w:szCs w:val="18"/>
          <w:color w:val="000000"/>
        </w:rPr>
        <w:t>. The registration rights set forth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terminate and cease to be available as to any securities held by a Holder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at such time as such Holder (after owning) first ceases to own any Registrable Securities.  </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2.11            </w:t>
      </w:r>
      <w:r>
        <w:rPr>
          <w:rFonts w:ascii="Times New Roman" w:cs="Times New Roman" w:eastAsia="Times New Roman" w:hAnsi="Times New Roman"/>
          <w:sz w:val="18"/>
          <w:szCs w:val="18"/>
          <w:u w:val="single" w:color="auto"/>
          <w:color w:val="000000"/>
        </w:rPr>
        <w:t>Lock-Up Agreements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InsuranceCo agrees that, if requested by the managing underwriter in any underwritten public offering contemplated by this Agreement, 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enter into a customary “lock-up” agreement providing that it will not, directly or indirectly, sell, offer to sell, grant any option for the sale of,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dispose of any InsuranceCo Common Units or securities convertible into or exchangeable or exercisable for InsuranceCo Common Units (subject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customary exceptions), for a period of up to sixty (60) days from the effective date of the Registration Statement pertaining to such InsuranceCo Common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Units;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lock-up agreement shall not prohibit InsuranceCo from directly or indirectly (i) selling, offering to sell, granting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for the sale of or otherwise disposing of any Qualifying Employee Units (or otherwise maintaining its employee benefits plans in the ordinary course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 or (ii) issuing InsuranceCo Common Units or securities convertible into or exchangeable for InsuranceCo Common Units upon exercise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any option, right or convertible or exchangeable security. Each Holder shall coordinate with other Holders and, to the extent the Holders 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aware of Other Unitholders, Other Unitholders such that the total number of days that InsuranceCo will be subject to such restrictions (including similar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pursuant to any registration rights agreements with any Other Unitholders) as may be in effect in any three hundred sixty (365) day period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exceed one hundred twenty (120) days.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80" w:firstLine="645"/>
        <w:spacing w:after="0" w:line="249" w:lineRule="auto"/>
        <w:rPr>
          <w:sz w:val="20"/>
          <w:szCs w:val="20"/>
          <w:color w:val="auto"/>
        </w:rPr>
      </w:pPr>
      <w:r>
        <w:rPr>
          <w:rFonts w:ascii="Times New Roman" w:cs="Times New Roman" w:eastAsia="Times New Roman" w:hAnsi="Times New Roman"/>
          <w:sz w:val="18"/>
          <w:szCs w:val="18"/>
          <w:color w:val="auto"/>
        </w:rPr>
        <w:t>(b)            In the event that any Holder is an Affiliate of InsuranceCo, if requested by the managing underwriter in any underwritten public offering permitted by this Agreement, such Holder will enter into a customary “lock-up” agreement providing that it will not sell, grant any option for the sale of, or otherwise dispose of any InsuranceCo Common Units outside of such public offering (subject to customary exceptions) for a period of up to sixty (60) days from the effective date of the Registration Statement pertaining to such InsuranceCo Common Units.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00" w:firstLine="645"/>
        <w:spacing w:after="0" w:line="252" w:lineRule="auto"/>
        <w:rPr>
          <w:sz w:val="20"/>
          <w:szCs w:val="20"/>
          <w:color w:val="auto"/>
        </w:rPr>
      </w:pPr>
      <w:r>
        <w:rPr>
          <w:rFonts w:ascii="Times New Roman" w:cs="Times New Roman" w:eastAsia="Times New Roman" w:hAnsi="Times New Roman"/>
          <w:sz w:val="18"/>
          <w:szCs w:val="18"/>
          <w:color w:val="auto"/>
        </w:rPr>
        <w:t xml:space="preserve">a)            Notwithstanding any provision of this Agreement to the contrary, in order for a Registration to be included as a Registration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Registration Statement in connection therewith shall have been continually effective in compliance with the Securities Act and usable for resale for the full period established with respect to such Registration (except in the case of any suspension of sales pursuant to (i) a Scheduled Black-Out Period or (ii)</w:t>
      </w:r>
      <w:r>
        <w:rPr>
          <w:rFonts w:ascii="Times New Roman" w:cs="Times New Roman" w:eastAsia="Times New Roman" w:hAnsi="Times New Roman"/>
          <w:sz w:val="18"/>
          <w:szCs w:val="18"/>
          <w:u w:val="single" w:color="auto"/>
          <w:color w:val="auto"/>
        </w:rPr>
        <w:t> Section 2.6(c) </w:t>
      </w:r>
      <w:r>
        <w:rPr>
          <w:rFonts w:ascii="Times New Roman" w:cs="Times New Roman" w:eastAsia="Times New Roman" w:hAnsi="Times New Roman"/>
          <w:sz w:val="18"/>
          <w:szCs w:val="18"/>
          <w:color w:val="auto"/>
        </w:rPr>
        <w:t>hereof, in which case such period shall be extended to the extent of such suspension).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Notwithstanding any provision of this Agreement to the contrary, if InsuranceCo is required to file a post-effective amendment to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to incorporate InsuranceCo’s quarterly and annual reports and related financial statements on Form 10-Q and Form 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InsuranceCo shall use its reasonable best efforts to promptly file such post-effective amendment and may postpone or suspend effectiveness of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for a period not to exceed thirty (30) consecutive days to the extent InsuranceCo determines necessary to comply with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period by which InsuranceCo postpones or suspends the effectiveness of a shelf Registration Statement pursuant to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plus any suspension, deferral or delay pursuant to </w:t>
      </w:r>
      <w:r>
        <w:rPr>
          <w:rFonts w:ascii="Times New Roman" w:cs="Times New Roman" w:eastAsia="Times New Roman" w:hAnsi="Times New Roman"/>
          <w:sz w:val="18"/>
          <w:szCs w:val="18"/>
          <w:u w:val="single" w:color="auto"/>
          <w:color w:val="auto"/>
        </w:rPr>
        <w:t>Section 2.6(c) </w:t>
      </w:r>
      <w:r>
        <w:rPr>
          <w:rFonts w:ascii="Times New Roman" w:cs="Times New Roman" w:eastAsia="Times New Roman" w:hAnsi="Times New Roman"/>
          <w:sz w:val="18"/>
          <w:szCs w:val="18"/>
          <w:color w:val="auto"/>
        </w:rPr>
        <w:t>shall not exceed sixty (60) days in the aggregate in any twelve (12)-month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9" w:name="page100"/>
    <w:bookmarkEnd w:id="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3. MISCELLANEOUS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010000"/>
        </w:rPr>
        <w:t>3.1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AGREEMENT WILL BE GOVERNED BY AND CONSTRUED IN ACCORDANCE WITH THE INTERNAL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LAWS OF THE STATE OF DELAWARE. EACH OF THE PARTIES HEREBY AGREES THAT ANY SUIT, ACTION OR PROCEEDING SEEKING TO ENFORCE ANY PROVISION OF, OR BASED ON ANY MATTER ARISING OUT OF OR IN CONNECTION WITH, THIS AGREEMENT (WHETHER BROUGHT BY ANY PARTY OR ANY OF ITS AFFILIATES OR AGAINST ANY PARTY OR ANY OF ITS AFFILIATES) SHALL BE BROUGHT IN THE COURT OF CHANCERY OF THE STATE OF DELAWARE (OR IN THE EVENT, BUT ONLY IN THE EVENT, THAT SUCH COURT DOES NOT HAVE SUBJECT MATTER JURISDICTION OVER SUCH ACTION OR PROCEEDING, THE SUPERIOR COURT OF THE STATE OF DELAWARE (COMPLEX COMMERCIAL DIVISION) OR, IF SUBJECT MATTER JURISDICTION OVER THE ACTION OR PROCEEDING IS VESTED EXCLUSIVELY IN THE FEDERAL COURTS OF THE UNITED STATES OF AMERICA, THE UNITED STATES DISTRICT COURT FOR THE DISTRICT OF DELAWARE) AND EACH OF THE PARTIES IRREVOCABLY SUBMITS TO THE JURISDICTION OF, AND VENUE IN, SUCH COURTS AND WAIVES ANY OBJECTION BASED ON FORUM NON CONVENIENS.  </w:t>
      </w:r>
    </w:p>
    <w:p>
      <w:pPr>
        <w:spacing w:after="0" w:line="209"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010000"/>
        </w:rPr>
        <w:t>3.2            </w:t>
      </w:r>
      <w:r>
        <w:rPr>
          <w:rFonts w:ascii="Times New Roman" w:cs="Times New Roman" w:eastAsia="Times New Roman" w:hAnsi="Times New Roman"/>
          <w:sz w:val="18"/>
          <w:szCs w:val="18"/>
          <w:u w:val="single" w:color="auto"/>
          <w:color w:val="000000"/>
        </w:rPr>
        <w:t>Interpretation; Headings</w:t>
      </w:r>
      <w:r>
        <w:rPr>
          <w:rFonts w:ascii="Times New Roman" w:cs="Times New Roman" w:eastAsia="Times New Roman" w:hAnsi="Times New Roman"/>
          <w:sz w:val="18"/>
          <w:szCs w:val="18"/>
          <w:color w:val="000000"/>
        </w:rPr>
        <w:t>. The parties hereto have participated jointly in negotiating and drafting this Agreement. In the event that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headings contained in this Agreement are for reference purposes only and shall not affect in any way the meaning or interpretation of this Agreement.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Agreement: (i) “or” shall mean “and/or”; (ii) “including” and its variants mean “including, without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and its variants; (iii) words defined in the singular have the parallel meaning in the plural and vice versa; (iv) references to “written” or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include in visual electronic form; (v) words of one gender shall be construed to apply to each gender; and (vi) the term “Section” refers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Section of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0" w:firstLine="645"/>
        <w:spacing w:after="0" w:line="249" w:lineRule="auto"/>
        <w:rPr>
          <w:sz w:val="20"/>
          <w:szCs w:val="20"/>
          <w:color w:val="auto"/>
        </w:rPr>
      </w:pPr>
      <w:r>
        <w:rPr>
          <w:rFonts w:ascii="Times New Roman" w:cs="Times New Roman" w:eastAsia="Times New Roman" w:hAnsi="Times New Roman"/>
          <w:sz w:val="18"/>
          <w:szCs w:val="18"/>
          <w:color w:val="010000"/>
        </w:rPr>
        <w:t>3.3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Any notice or other communication required or permitted to be given hereunder will be in writing and will be deemed to have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duly given if delivered by prepaid first-class mail, by email or other means of electronic communication or by hand-delivery and addressed as follows: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Howard Hughes Holdings Inc.</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joseph.valane@howardhughes.com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250 Vesey Street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Andrew Levine</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auto"/>
        </w:rPr>
        <w:t>amlevine@jonesday.com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658" w:right="379" w:bottom="1440" w:gutter="0" w:footer="0" w:header="0"/>
        </w:sectPr>
      </w:pPr>
    </w:p>
    <w:bookmarkStart w:id="101" w:name="page102"/>
    <w:bookmarkEnd w:id="10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Atlanta, Georgia 30361</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Joel T. May</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jtmay@jonesday.com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InsuranceCo,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Howard Hughes Insurance Holdings, LLC</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David O’Reilly</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David.O’Reilly@howardhughes.com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250 Vesey Street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Andrew Levine</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auto"/>
        </w:rPr>
        <w:t>amlevine@jonesday.com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Atlanta, Georgia 30361 </w:t>
      </w:r>
    </w:p>
    <w:tbl>
      <w:tblPr>
        <w:tblLayout w:type="fixed"/>
        <w:tblInd w:w="1300" w:type="dxa"/>
        <w:tblCellMar>
          <w:top w:w="0" w:type="dxa"/>
          <w:left w:w="0" w:type="dxa"/>
          <w:bottom w:w="0" w:type="dxa"/>
          <w:right w:w="0" w:type="dxa"/>
        </w:tblCellMar>
      </w:tblPr>
      <w:tr>
        <w:trPr>
          <w:trHeight w:val="204"/>
        </w:trPr>
        <w:tc>
          <w:tcPr>
            <w:tcW w:w="10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Attention:</w:t>
            </w:r>
          </w:p>
        </w:tc>
        <w:tc>
          <w:tcPr>
            <w:tcW w:w="15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Joel T. May</w:t>
            </w:r>
          </w:p>
        </w:tc>
      </w:tr>
      <w:tr>
        <w:trPr>
          <w:trHeight w:val="193"/>
        </w:trPr>
        <w:tc>
          <w:tcPr>
            <w:tcW w:w="10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Email:</w:t>
            </w:r>
          </w:p>
        </w:tc>
        <w:tc>
          <w:tcPr>
            <w:tcW w:w="154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w w:val="96"/>
              </w:rPr>
              <w:t>jtmay@jonesday.com</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spacing w:after="0"/>
              <w:rPr>
                <w:sz w:val="20"/>
                <w:szCs w:val="20"/>
                <w:color w:val="auto"/>
              </w:rPr>
            </w:pPr>
          </w:p>
        </w:tc>
      </w:tr>
    </w:tbl>
    <w:p>
      <w:pPr>
        <w:ind w:left="1300"/>
        <w:spacing w:after="0"/>
        <w:rPr>
          <w:sz w:val="20"/>
          <w:szCs w:val="20"/>
          <w:color w:val="auto"/>
        </w:rPr>
      </w:pPr>
      <w:r>
        <w:rPr>
          <w:rFonts w:ascii="Times New Roman" w:cs="Times New Roman" w:eastAsia="Times New Roman" w:hAnsi="Times New Roman"/>
          <w:sz w:val="18"/>
          <w:szCs w:val="18"/>
          <w:color w:val="auto"/>
        </w:rPr>
        <w:t>if to the Purchaser,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Pershing Square Holdings, Ltd.</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787 Eleventh Ave</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     Chief Legal Officer</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     legal@persq.com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659" w:right="1440" w:bottom="1440" w:gutter="0" w:footer="0" w:header="0"/>
        </w:sectPr>
      </w:pPr>
    </w:p>
    <w:bookmarkStart w:id="103" w:name="page104"/>
    <w:bookmarkEnd w:id="10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D. Miller</w:t>
      </w:r>
    </w:p>
    <w:p>
      <w:pPr>
        <w:spacing w:after="0" w:line="8" w:lineRule="exact"/>
        <w:rPr>
          <w:sz w:val="20"/>
          <w:szCs w:val="20"/>
          <w:color w:val="auto"/>
        </w:rPr>
      </w:pPr>
    </w:p>
    <w:p>
      <w:pPr>
        <w:ind w:left="2320" w:hanging="1023"/>
        <w:spacing w:after="0"/>
        <w:tabs>
          <w:tab w:leader="none" w:pos="2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 Li</w:t>
      </w:r>
    </w:p>
    <w:p>
      <w:pPr>
        <w:spacing w:after="0" w:line="204" w:lineRule="exact"/>
        <w:rPr>
          <w:sz w:val="20"/>
          <w:szCs w:val="20"/>
          <w:color w:val="auto"/>
        </w:rPr>
      </w:pPr>
    </w:p>
    <w:p>
      <w:pPr>
        <w:ind w:left="2320" w:hanging="1023"/>
        <w:spacing w:after="0"/>
        <w:tabs>
          <w:tab w:leader="none" w:pos="2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liken@sullcrom.com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3.4            </w:t>
      </w:r>
      <w:r>
        <w:rPr>
          <w:rFonts w:ascii="Times New Roman" w:cs="Times New Roman" w:eastAsia="Times New Roman" w:hAnsi="Times New Roman"/>
          <w:sz w:val="18"/>
          <w:szCs w:val="18"/>
          <w:u w:val="single" w:color="auto"/>
          <w:color w:val="000000"/>
        </w:rPr>
        <w:t>Reproduction of Documents</w:t>
      </w:r>
      <w:r>
        <w:rPr>
          <w:rFonts w:ascii="Times New Roman" w:cs="Times New Roman" w:eastAsia="Times New Roman" w:hAnsi="Times New Roman"/>
          <w:sz w:val="18"/>
          <w:szCs w:val="18"/>
          <w:color w:val="000000"/>
        </w:rPr>
        <w:t>. This Agreement and all documents relating thereto, including, without limitation, any consents, waivers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modifications which may hereafter be executed, may be reproduced by the Holders by any photographic, photostatic, microfilm, microcard, miniature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photographic or other similar process and the Holders may destroy any original document so reproduced. The parties hereto agree and stipulate that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reproduction shall be admissible in evidence as the original itself in any judicial or administrative proceeding (whether or not the original is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existence and whether or not such reproduction was made by the Holders in the regular course of business) and that any enlargement, facsimile or further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reproduction of such reproduction shall likewise be admissible in evidence.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010000"/>
        </w:rPr>
        <w:t>3.5            </w:t>
      </w:r>
      <w:r>
        <w:rPr>
          <w:rFonts w:ascii="Times New Roman" w:cs="Times New Roman" w:eastAsia="Times New Roman" w:hAnsi="Times New Roman"/>
          <w:sz w:val="18"/>
          <w:szCs w:val="18"/>
          <w:u w:val="single" w:color="auto"/>
          <w:color w:val="000000"/>
        </w:rPr>
        <w:t>Successors and Assigns</w:t>
      </w:r>
      <w:r>
        <w:rPr>
          <w:rFonts w:ascii="Times New Roman" w:cs="Times New Roman" w:eastAsia="Times New Roman" w:hAnsi="Times New Roman"/>
          <w:sz w:val="18"/>
          <w:szCs w:val="18"/>
          <w:color w:val="000000"/>
        </w:rPr>
        <w:t>. Neither this Agreement nor any right or obligation hereunder may be assigned in whole or in part by any 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without the prior written consent of the other parties hereto and any purported assignment in violation of this provision shall be void;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rights and obligations hereunder of the Purchaser may be assigned, in whole or in part, to any Person who acquires such Registrable Securities that (i) is an Affiliate of any of the Purchaser or (ii) is unable to immediately sell, without limitations (including, but not limited to, any limitation on volume or manner of sale) or restrictions under Rule 144, all Registrable Securities and other shares of InsuranceCo Common Units held by such Person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for this clause (ii), any such rights and obligations may be assigned solely with respect to such Registrable Securities) (each such Person described in clause (i) or (ii), a “</w:t>
      </w:r>
      <w:r>
        <w:rPr>
          <w:rFonts w:ascii="Times New Roman" w:cs="Times New Roman" w:eastAsia="Times New Roman" w:hAnsi="Times New Roman"/>
          <w:sz w:val="18"/>
          <w:szCs w:val="18"/>
          <w:u w:val="single" w:color="auto"/>
          <w:color w:val="000000"/>
        </w:rPr>
        <w:t>Permitted Assignee</w:t>
      </w:r>
      <w:r>
        <w:rPr>
          <w:rFonts w:ascii="Times New Roman" w:cs="Times New Roman" w:eastAsia="Times New Roman" w:hAnsi="Times New Roman"/>
          <w:sz w:val="18"/>
          <w:szCs w:val="18"/>
          <w:color w:val="000000"/>
        </w:rPr>
        <w:t xml:space="preserve">”). Any assignment pursuant to this </w:t>
      </w:r>
      <w:r>
        <w:rPr>
          <w:rFonts w:ascii="Times New Roman" w:cs="Times New Roman" w:eastAsia="Times New Roman" w:hAnsi="Times New Roman"/>
          <w:sz w:val="18"/>
          <w:szCs w:val="18"/>
          <w:u w:val="single" w:color="auto"/>
          <w:color w:val="000000"/>
        </w:rPr>
        <w:t>Section 3.5</w:t>
      </w:r>
      <w:r>
        <w:rPr>
          <w:rFonts w:ascii="Times New Roman" w:cs="Times New Roman" w:eastAsia="Times New Roman" w:hAnsi="Times New Roman"/>
          <w:sz w:val="18"/>
          <w:szCs w:val="18"/>
          <w:color w:val="000000"/>
        </w:rPr>
        <w:t xml:space="preserve"> shall be effective and any Person shall become a Permitted Assignee only upon receipt by InsuranceCo of (1) a written notice from the transferring Holder stating the name and address of the transferee and identifying the number of shares of Registrable Securities with respect to which the rights under this Agreement are being transferred and, if fewer than all of the rights attributable to a Holder hereunder are to be so transferred, the nature of the rights so transferred and (2) a written instrument by which the transferee agrees to be bound by all of the terms and conditions applicable to a Holder of such Registrable Securities. Subject to the foregoing, this Agreement will inure to the benefit of and be binding upon the parties hereto and their respective successors and permitted assigns.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3.6            </w:t>
      </w:r>
      <w:r>
        <w:rPr>
          <w:rFonts w:ascii="Times New Roman" w:cs="Times New Roman" w:eastAsia="Times New Roman" w:hAnsi="Times New Roman"/>
          <w:sz w:val="18"/>
          <w:szCs w:val="18"/>
          <w:u w:val="single" w:color="auto"/>
          <w:color w:val="000000"/>
        </w:rPr>
        <w:t>Several Nature of Commitments</w:t>
      </w:r>
      <w:r>
        <w:rPr>
          <w:rFonts w:ascii="Times New Roman" w:cs="Times New Roman" w:eastAsia="Times New Roman" w:hAnsi="Times New Roman"/>
          <w:sz w:val="18"/>
          <w:szCs w:val="18"/>
          <w:color w:val="000000"/>
        </w:rPr>
        <w:t>. The obligations of each Holder hereunder are several and not joint and several, and relate only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Registrable Securities held by such Holder from time to time. No Holder shall bear responsibility to InsuranceCo for breach of this Agreement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by any other Holder.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05" w:name="page106"/>
    <w:bookmarkEnd w:id="10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010000"/>
        </w:rPr>
        <w:t>3.7            </w:t>
      </w:r>
      <w:r>
        <w:rPr>
          <w:rFonts w:ascii="Times New Roman" w:cs="Times New Roman" w:eastAsia="Times New Roman" w:hAnsi="Times New Roman"/>
          <w:sz w:val="18"/>
          <w:szCs w:val="18"/>
          <w:u w:val="single" w:color="auto"/>
          <w:color w:val="000000"/>
        </w:rPr>
        <w:t>Additional Unitholders</w:t>
      </w:r>
      <w:r>
        <w:rPr>
          <w:rFonts w:ascii="Times New Roman" w:cs="Times New Roman" w:eastAsia="Times New Roman" w:hAnsi="Times New Roman"/>
          <w:sz w:val="18"/>
          <w:szCs w:val="18"/>
          <w:color w:val="000000"/>
        </w:rPr>
        <w:t>. The parties hereto acknowledge that certain Persons may become unitholders of InsuranceCo and InsuranceCo may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wish to grant such Persons registration rights with respect to the shares of InsuranceCo Common Units issued to such Persons. InsuranceCo may do so in its discretion so long as such registration rights are not inconsistent with the registration rights granted to the Holders hereunder and the terms of the Certificate of Designations, and, if any registration rights granted are more favorable than those provided to Holders of InsuranceCo Common Units hereunder, conforming changes reasonably acceptable to the Purchaser are made to this Agreement to provide Holders hereunder with substantially similar rights.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3.8            </w:t>
      </w:r>
      <w:r>
        <w:rPr>
          <w:rFonts w:ascii="Times New Roman" w:cs="Times New Roman" w:eastAsia="Times New Roman" w:hAnsi="Times New Roman"/>
          <w:sz w:val="17"/>
          <w:szCs w:val="17"/>
          <w:u w:val="single" w:color="auto"/>
          <w:color w:val="000000"/>
        </w:rPr>
        <w:t>Entire Agreement</w:t>
      </w:r>
      <w:r>
        <w:rPr>
          <w:rFonts w:ascii="Times New Roman" w:cs="Times New Roman" w:eastAsia="Times New Roman" w:hAnsi="Times New Roman"/>
          <w:sz w:val="17"/>
          <w:szCs w:val="17"/>
          <w:color w:val="000000"/>
        </w:rPr>
        <w:t>. The Transaction Documents constitute the entire agreement of the parties and their Affiliates and supersede all prior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contemporaneous agreements, arrangements or understandings, whether written or oral, among the parties and their Affiliates with respect to the subject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of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3.9            </w:t>
      </w:r>
      <w:r>
        <w:rPr>
          <w:rFonts w:ascii="Times New Roman" w:cs="Times New Roman" w:eastAsia="Times New Roman" w:hAnsi="Times New Roman"/>
          <w:sz w:val="18"/>
          <w:szCs w:val="18"/>
          <w:u w:val="single" w:color="auto"/>
          <w:color w:val="000000"/>
        </w:rPr>
        <w:t>Amendment and Waiver</w:t>
      </w:r>
      <w:r>
        <w:rPr>
          <w:rFonts w:ascii="Times New Roman" w:cs="Times New Roman" w:eastAsia="Times New Roman" w:hAnsi="Times New Roman"/>
          <w:sz w:val="18"/>
          <w:szCs w:val="18"/>
          <w:color w:val="000000"/>
        </w:rPr>
        <w:t>. This Agreement may be amended, modified, superseded, cancelled, renewed or extended, and the terms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of this Agreement may be waived, with (and only with) the written consent of (i) prior to the occurrence of an InsuranceCo Exchange of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Registrable Securities, the Company, InsuranceCo and the Holders holding a majority of the then outstanding Registrable Securities (and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amendment shall apply to all Holders and all of their Registrable Securities) and (ii) from and after the occurrence of an InsuranceCo Exchange of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Registrable Securities, InsuranceCo and the Holders holding a majority of the then outstanding Registrable Securities (and any such amendment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apply to all Holders and all of their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no amendment to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may adversely affect the rights of a Holder hereunder without the prior written consent of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foregoing, additional Holders may become party hereto upon an assignment of rights and obligations hereunder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other than as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InsuranceCo may not add additional parties hereto without the consent of Holders holding a majority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then outstanding Registrable Securities. The observance of any term of this Agreement may be waived by the party or parties waiving any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waiver shall apply to all Holders and all of their Registrable Securities only if made by Holders holding a majority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then-outstanding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delay on the part of any party in exercising any right, power or privilege pursuant to this Agreement shall operate as a waiver thereof, nor shall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on the part of any party of any right, power or privilege pursuant to this Agreement, nor shall any single or partial exercise of any right, power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privilege pursuant to this Agreement, preclude any other or further exercise thereof or the exercise of any other right, power or privilege pursuant to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rights and remedies provided pursuant to this Agreement are cumulative and are not exclusive of any rights or remedies which any party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may have at law or in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60" w:firstLine="645"/>
        <w:spacing w:after="0" w:line="252" w:lineRule="auto"/>
        <w:rPr>
          <w:sz w:val="20"/>
          <w:szCs w:val="20"/>
          <w:color w:val="auto"/>
        </w:rPr>
      </w:pPr>
      <w:r>
        <w:rPr>
          <w:rFonts w:ascii="Times New Roman" w:cs="Times New Roman" w:eastAsia="Times New Roman" w:hAnsi="Times New Roman"/>
          <w:sz w:val="18"/>
          <w:szCs w:val="18"/>
          <w:color w:val="010000"/>
        </w:rPr>
        <w:t>3.10            </w:t>
      </w:r>
      <w:r>
        <w:rPr>
          <w:rFonts w:ascii="Times New Roman" w:cs="Times New Roman" w:eastAsia="Times New Roman" w:hAnsi="Times New Roman"/>
          <w:sz w:val="18"/>
          <w:szCs w:val="18"/>
          <w:u w:val="single" w:color="auto"/>
          <w:color w:val="000000"/>
        </w:rPr>
        <w:t>Injunctive Relief</w:t>
      </w:r>
      <w:r>
        <w:rPr>
          <w:rFonts w:ascii="Times New Roman" w:cs="Times New Roman" w:eastAsia="Times New Roman" w:hAnsi="Times New Roman"/>
          <w:sz w:val="18"/>
          <w:szCs w:val="18"/>
          <w:color w:val="000000"/>
        </w:rPr>
        <w:t>. The parties agree that irreparable damage would occur in the event that any provisions of this Agreement were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performed in accordance with their specific terms. It is accordingly agreed that each of the parties shall be entitled to an injunction or injunctions (without necessity of proving damages or posting a bond or other security) to prevent breaches of this Agreement, and to enforce specifically the terms and provisions of this Agreement, in addition to any other applicable remedies at law or equity.  </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658" w:right="379" w:bottom="1440" w:gutter="0" w:footer="0" w:header="0"/>
        </w:sectPr>
      </w:pPr>
    </w:p>
    <w:bookmarkStart w:id="107" w:name="page108"/>
    <w:bookmarkEnd w:id="10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010000"/>
        </w:rPr>
        <w:t>3.11            </w:t>
      </w:r>
      <w:r>
        <w:rPr>
          <w:rFonts w:ascii="Times New Roman" w:cs="Times New Roman" w:eastAsia="Times New Roman" w:hAnsi="Times New Roman"/>
          <w:sz w:val="18"/>
          <w:szCs w:val="18"/>
          <w:u w:val="single" w:color="auto"/>
          <w:color w:val="000000"/>
        </w:rPr>
        <w:t>WAIVER OF JURY TRIAL</w:t>
      </w:r>
      <w:r>
        <w:rPr>
          <w:rFonts w:ascii="Times New Roman" w:cs="Times New Roman" w:eastAsia="Times New Roman" w:hAnsi="Times New Roman"/>
          <w:sz w:val="18"/>
          <w:szCs w:val="18"/>
          <w:color w:val="000000"/>
        </w:rPr>
        <w:t>. EACH PARTY ACKNOWLEDGES AND AGREES THAT ANY CONTROVERSY WHICH MAY ARISE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 THIS AGREEMENT IS LIKELY TO INVOLVE COMPLICATED AND DIFFICULT ISSUES AND, THEREFORE, EACH SUCH PARTY IRREVOCABLY AND UNCONDITIONALLY WAIVES ANY RIGHT IT MAY HAVE TO A TRIAL BY JURY IN RESPECT OF ANY ACTIONS, SUITS, DEMAND LETTERS, JUDICIAL, ADMINISTRATIVE OR REGULATORY PROCEEDINGS, OR HEARINGS, NOTICES OF VIOLATION OR INVESTIGATIONS ARISING OUT OF OR RELATING TO THIS AGREEMENT. EACH PARTY TO THIS AGREEMENT CERTIFIES AND ACKNOWLEDGES THAT (A) SUCH PARTY HAS CONSIDERED THE IMPLICATIONS OF THIS WAIVER AND (B) SUCH PARTY MAKES THIS WAIVER VOLUNTARILY.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3.12            </w:t>
      </w:r>
      <w:r>
        <w:rPr>
          <w:rFonts w:ascii="Times New Roman" w:cs="Times New Roman" w:eastAsia="Times New Roman" w:hAnsi="Times New Roman"/>
          <w:sz w:val="18"/>
          <w:szCs w:val="18"/>
          <w:u w:val="single" w:color="auto"/>
          <w:color w:val="000000"/>
        </w:rPr>
        <w:t>No Inconsistent Agreements</w:t>
      </w:r>
      <w:r>
        <w:rPr>
          <w:rFonts w:ascii="Times New Roman" w:cs="Times New Roman" w:eastAsia="Times New Roman" w:hAnsi="Times New Roman"/>
          <w:sz w:val="18"/>
          <w:szCs w:val="18"/>
          <w:color w:val="000000"/>
        </w:rPr>
        <w:t>. Each of the Company and InsuranceCo is not currently a party to any agreement which is, or could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inconsistent with, the rights granted to the Holders by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 w:firstLine="645"/>
        <w:spacing w:after="0" w:line="249" w:lineRule="auto"/>
        <w:rPr>
          <w:sz w:val="20"/>
          <w:szCs w:val="20"/>
          <w:color w:val="auto"/>
        </w:rPr>
      </w:pPr>
      <w:r>
        <w:rPr>
          <w:rFonts w:ascii="Times New Roman" w:cs="Times New Roman" w:eastAsia="Times New Roman" w:hAnsi="Times New Roman"/>
          <w:sz w:val="18"/>
          <w:szCs w:val="18"/>
          <w:color w:val="010000"/>
        </w:rPr>
        <w:t>3.13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The provisions of this Agreement shall be deemed severable and the invalidity or unenforceability of any provision shall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00" w:firstLine="645"/>
        <w:spacing w:after="0" w:line="253" w:lineRule="auto"/>
        <w:rPr>
          <w:sz w:val="20"/>
          <w:szCs w:val="20"/>
          <w:color w:val="auto"/>
        </w:rPr>
      </w:pPr>
      <w:r>
        <w:rPr>
          <w:rFonts w:ascii="Times New Roman" w:cs="Times New Roman" w:eastAsia="Times New Roman" w:hAnsi="Times New Roman"/>
          <w:sz w:val="18"/>
          <w:szCs w:val="18"/>
          <w:color w:val="010000"/>
        </w:rPr>
        <w:t>3.14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Agreement may be executed in any number of counterparts, all of which shall be considered one and the same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shall become effective when counterparts have been signed by each of the parties and delivered to the other party (including via email or other electronic transmission), it being understood that each party need not sign the same counterpart.  </w:t>
      </w:r>
    </w:p>
    <w:p>
      <w:pPr>
        <w:spacing w:after="0" w:line="205" w:lineRule="exact"/>
        <w:rPr>
          <w:sz w:val="20"/>
          <w:szCs w:val="20"/>
          <w:color w:val="auto"/>
        </w:rPr>
      </w:pPr>
    </w:p>
    <w:p>
      <w:pPr>
        <w:ind w:right="40" w:firstLine="645"/>
        <w:spacing w:after="0" w:line="258" w:lineRule="auto"/>
        <w:rPr>
          <w:sz w:val="20"/>
          <w:szCs w:val="20"/>
          <w:color w:val="auto"/>
        </w:rPr>
      </w:pPr>
      <w:r>
        <w:rPr>
          <w:rFonts w:ascii="Times New Roman" w:cs="Times New Roman" w:eastAsia="Times New Roman" w:hAnsi="Times New Roman"/>
          <w:sz w:val="18"/>
          <w:szCs w:val="18"/>
          <w:color w:val="010000"/>
        </w:rPr>
        <w:t>3.15            </w:t>
      </w:r>
      <w:r>
        <w:rPr>
          <w:rFonts w:ascii="Times New Roman" w:cs="Times New Roman" w:eastAsia="Times New Roman" w:hAnsi="Times New Roman"/>
          <w:sz w:val="18"/>
          <w:szCs w:val="18"/>
          <w:u w:val="single" w:color="auto"/>
          <w:color w:val="000000"/>
        </w:rPr>
        <w:t>Interpretation of This Agreement</w:t>
      </w:r>
      <w:r>
        <w:rPr>
          <w:rFonts w:ascii="Times New Roman" w:cs="Times New Roman" w:eastAsia="Times New Roman" w:hAnsi="Times New Roman"/>
          <w:sz w:val="18"/>
          <w:szCs w:val="18"/>
          <w:color w:val="000000"/>
        </w:rPr>
        <w:t>. Where any provision in this Agreement refers to action to be taken by any Person, or which such Person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prohibited from taking, such provision shall be applicable whether such action is taken directly or indirectly by such Person.  </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Remainder of Page Intentionally Left Blank</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109" w:name="page110"/>
    <w:bookmarkEnd w:id="10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Registration Rights Agreement as of the date first set forth above.</w:t>
      </w:r>
    </w:p>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HOWARD HUGHES HOLDINGS INC.</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Name: David O’Reilly</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HOWARD HUGHES INSURANCE HOLDINGS, LLC</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 </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Name: David O’Reilly</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PERSHING SQUARE HOLDINGS, LTD.</w:t>
            </w:r>
          </w:p>
        </w:tc>
        <w:tc>
          <w:tcPr>
            <w:tcW w:w="1220" w:type="dxa"/>
            <w:vAlign w:val="bottom"/>
          </w:tcPr>
          <w:p>
            <w:pPr>
              <w:spacing w:after="0"/>
              <w:rPr>
                <w:sz w:val="19"/>
                <w:szCs w:val="19"/>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1220" w:type="dxa"/>
            <w:vAlign w:val="bottom"/>
          </w:tcPr>
          <w:p>
            <w:pPr>
              <w:spacing w:after="0"/>
              <w:rPr>
                <w:sz w:val="20"/>
                <w:szCs w:val="20"/>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Name: Rupert Morley</w:t>
            </w:r>
          </w:p>
        </w:tc>
        <w:tc>
          <w:tcPr>
            <w:tcW w:w="1220" w:type="dxa"/>
            <w:vAlign w:val="bottom"/>
            <w:tcBorders>
              <w:top w:val="single" w:sz="8" w:color="auto"/>
            </w:tcBorders>
          </w:tcPr>
          <w:p>
            <w:pPr>
              <w:spacing w:after="0"/>
              <w:rPr>
                <w:sz w:val="16"/>
                <w:szCs w:val="16"/>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w:t>
            </w:r>
          </w:p>
        </w:tc>
        <w:tc>
          <w:tcPr>
            <w:tcW w:w="1220" w:type="dxa"/>
            <w:vAlign w:val="bottom"/>
          </w:tcPr>
          <w:p>
            <w:pPr>
              <w:spacing w:after="0"/>
              <w:rPr>
                <w:sz w:val="18"/>
                <w:szCs w:val="18"/>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65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99.45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CERTIFICATE OF DESIGNATIONS</w:t>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SERIES A NON-VOTING EXCHANGEABLE PERPETUAL PREFERRED STOCK</w:t>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HOWARD HUGHES HOLDINGS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18"/>
          <w:szCs w:val="18"/>
          <w:color w:val="auto"/>
        </w:rPr>
        <w:t>Howard Hughes Holdings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that pursuant to Sections 103, 141 and 151 of the General Corporation Law of the State of Delaware (as amended, supplemented or restated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 on November 18, 2025, the Board appointed a financing committee (the “</w:t>
      </w:r>
      <w:r>
        <w:rPr>
          <w:rFonts w:ascii="Times New Roman" w:cs="Times New Roman" w:eastAsia="Times New Roman" w:hAnsi="Times New Roman"/>
          <w:sz w:val="18"/>
          <w:szCs w:val="18"/>
          <w:u w:val="single" w:color="auto"/>
          <w:color w:val="auto"/>
        </w:rPr>
        <w:t>Financing Committee</w:t>
      </w:r>
      <w:r>
        <w:rPr>
          <w:rFonts w:ascii="Times New Roman" w:cs="Times New Roman" w:eastAsia="Times New Roman" w:hAnsi="Times New Roman"/>
          <w:sz w:val="18"/>
          <w:szCs w:val="18"/>
          <w:color w:val="auto"/>
        </w:rPr>
        <w:t>”) and authorized the Financing Committee to negotiate and approve, and recommend to the Board for approval, the terms and conditions of the provision of equity capital by Investor and (b) based on the recommendation of the Financing Committee, the Board adopted the following resolutions providing for the issuance of a series of Preferred Stock: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Amended and Restated Certificate of Incorporation of the Corporation (as may be amended, amended and restated, supplemented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modified from time to time in accordance with its terms and applicable law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authorizes the issuance of up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 shares of preferred stock, par value $0.01 per share, of the Corporation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expressly authorizes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subject to limitations prescribed by applicable law, with respect to each such series, to establish the number of shares to be included in each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and fix the designations, powers, rights and preferences of the shares of each such series, and the qualifications, limitations and restrictions 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WHEREAS, the Financing Committee, pursuant to the authority delegated to it by the Board, has negotiated and approved the terms and conditions of a new series of Preferred Stock and recommends the Board authorize the same.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BE IT RESOLVED, that, based on the recommendation of the Financing Committee, the Board hereby authorizes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a series of Preferred Stock of the Corporation and does hereby in the following certificate of designations (this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 and fix and herein state and express the designation, voting powers, preferences and relative, participating, optional and other special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preferences and qualifications, limitations and restrictions thereof, of the shares of such series, in addition to those set forth in the Certificate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as follows: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              </w:t>
      </w:r>
      <w:r>
        <w:rPr>
          <w:rFonts w:ascii="Times New Roman" w:cs="Times New Roman" w:eastAsia="Times New Roman" w:hAnsi="Times New Roman"/>
          <w:sz w:val="18"/>
          <w:szCs w:val="18"/>
          <w:b w:val="1"/>
          <w:bCs w:val="1"/>
          <w:color w:val="000000"/>
        </w:rPr>
        <w:t>Designation</w:t>
      </w:r>
      <w:r>
        <w:rPr>
          <w:rFonts w:ascii="Times New Roman" w:cs="Times New Roman" w:eastAsia="Times New Roman" w:hAnsi="Times New Roman"/>
          <w:sz w:val="18"/>
          <w:szCs w:val="18"/>
          <w:color w:val="000000"/>
        </w:rPr>
        <w:t>. The distinctive serial designation of such series is “Series A Non-Voting Exchangeable Perpetual Preferred Stock,” par value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per share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              </w:t>
      </w:r>
      <w:r>
        <w:rPr>
          <w:rFonts w:ascii="Times New Roman" w:cs="Times New Roman" w:eastAsia="Times New Roman" w:hAnsi="Times New Roman"/>
          <w:sz w:val="18"/>
          <w:szCs w:val="18"/>
          <w:b w:val="1"/>
          <w:bCs w:val="1"/>
          <w:color w:val="000000"/>
        </w:rPr>
        <w:t>Number of Shares</w:t>
      </w:r>
      <w:r>
        <w:rPr>
          <w:rFonts w:ascii="Times New Roman" w:cs="Times New Roman" w:eastAsia="Times New Roman" w:hAnsi="Times New Roman"/>
          <w:sz w:val="18"/>
          <w:szCs w:val="18"/>
          <w:color w:val="000000"/>
        </w:rPr>
        <w:t>. The authorized number of shares constituting the Series A Preferred Stock shall initially be 140,000. The Series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will be divided into 14 tranches, each of which shall have 10,000 shares (each, a “</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titled Tranche A-1 through Tranche A-14.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applicable law and the Certificate of Incorporation, the number of shares and Tranches constituting the Series A Preferred Stock may from time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be increased (but not in excess of the total number of authorized shares of Preferred Stock) or decreased (but not below the number of shares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Preferred Stock then outstanding) by the Disinterested Directors.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3.               </w:t>
      </w:r>
      <w:r>
        <w:rPr>
          <w:rFonts w:ascii="Times New Roman" w:cs="Times New Roman" w:eastAsia="Times New Roman" w:hAnsi="Times New Roman"/>
          <w:sz w:val="18"/>
          <w:szCs w:val="18"/>
          <w:b w:val="1"/>
          <w:bCs w:val="1"/>
          <w:color w:val="000000"/>
        </w:rPr>
        <w:t>Definitions</w:t>
      </w:r>
      <w:r>
        <w:rPr>
          <w:rFonts w:ascii="Times New Roman" w:cs="Times New Roman" w:eastAsia="Times New Roman" w:hAnsi="Times New Roman"/>
          <w:sz w:val="18"/>
          <w:szCs w:val="18"/>
          <w:color w:val="000000"/>
        </w:rPr>
        <w:t>. Capitalized terms used but not otherwise defined herein shall have the meaning ascribed to such term in the Certificate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Unless otherwise specified herein, as used in this Certificate of Designations with respect to Series A Preferred Stock, the following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will have the following meanings: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Adjusted Consideration</w:t>
      </w:r>
      <w:r>
        <w:rPr>
          <w:rFonts w:ascii="Times New Roman" w:cs="Times New Roman" w:eastAsia="Times New Roman" w:hAnsi="Times New Roman"/>
          <w:sz w:val="18"/>
          <w:szCs w:val="18"/>
          <w:color w:val="auto"/>
        </w:rPr>
        <w:t>” means “Adjusted Consideration”, as defined in the Purchase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of any particular Person means any other Person controlling, controlled by or under common control with such particular Person.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definition, “control” means the possession, directly or indirectly, of the power to direct the management and policies of a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through the ownership of voting securities, contract or otherwise.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Allotted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12(c)(ii)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a Saturday, (b) a Sunday or (c) any other day on which commercial banks are authorized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law to be closed in the City of New York.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Call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Call Option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Call Option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Call Option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has the meaning set forth in the Recitals.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has the meaning set forth in the Recitals.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a sale or series of sales pursuant to which any person or group of persons acquires beneficial ownership of either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than fifty percent (50%) of the then-outstanding (i) Common Stock of the Corporation or a Subsidiary of the Corporation (other than InsuranceCo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its Subsidiaries) that holds more than 50% of the assets or business of the Corporation and its Subsidiaries, taken as a whole (treating for this purpose 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securities as if they had been exchanged for Common Stock immediately prior to such transaction) or (ii) equity securities of the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(treating for this purpose all exchangeable securities as if they had been exchanged for Common Stock immediately prior to such transaction) or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Corporation (other than InsuranceCo and its Subsidiaries) that holds more than 50% of the assets or business of the Corporation and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taken as a whole, or (b) the combined voting power of more than fifty percent (50%) of the outstanding capital stock entitled to vote generally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election of directors of the Corporation or a Subsidiary of the Corporation (other than InsuranceCo and its Subsidiaries) that holds more than 50%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Corporation’s assets or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transaction or series of transactions where the ultimate beneficial ownership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 applicable Subsidiary remains unchanged, including wholly internal reorganization or restructuring transactions, shall not be deemed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a Change of Control.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has the meaning set forth in the Preamble.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Defaulted Repurchase Dividend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240"/>
          </w:cols>
          <w:pgMar w:left="320" w:top="229" w:right="339" w:bottom="1440" w:gutter="0" w:footer="0" w:header="0"/>
        </w:sectPr>
      </w:pPr>
    </w:p>
    <w:bookmarkStart w:id="113" w:name="page114"/>
    <w:bookmarkEnd w:id="11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Preamble.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xml:space="preserve">” means “Disinterested Director” as defined in the Standstill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Standstill Agreement has been terminated or is no longer in effect, “Disinterested Director” shall mean, with respect to any act or transaction, a director of the Board who (i) is not a party to the act or transaction and (ii) does not have a material interest in the act or transaction or a material relationship with a person that has a material interest in the act or transaction, in each case, as determined in good faith by the Board.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“Encumbrances” as defined in the Subscription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Exchange Calculation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10(b)(iii)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Exchange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10(b)(i)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Excluded Issuances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12(c)(i)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Event of Noncompliance</w:t>
      </w:r>
      <w:r>
        <w:rPr>
          <w:rFonts w:ascii="Times New Roman" w:cs="Times New Roman" w:eastAsia="Times New Roman" w:hAnsi="Times New Roman"/>
          <w:sz w:val="18"/>
          <w:szCs w:val="18"/>
          <w:color w:val="auto"/>
        </w:rPr>
        <w:t>” means following notice from a Holder, any failure by the Corporation or any of its Subsidiaries to materially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 with (A) any covenants set forth in this Certificate of Designations or (B) the covenants of the Corporation or any of its Subsidiaries set forth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 or Registration Rights Agreement, which failure to comply, if subject to remedy, remains unremedied for thirty (30) days from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such notice, and which notice must specify such event of noncompliance, demand that it be remedied and state that such notice is a “Notice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Noncompliance.”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Financing Committee</w:t>
      </w:r>
      <w:r>
        <w:rPr>
          <w:rFonts w:ascii="Times New Roman" w:cs="Times New Roman" w:eastAsia="Times New Roman" w:hAnsi="Times New Roman"/>
          <w:sz w:val="18"/>
          <w:szCs w:val="18"/>
          <w:color w:val="auto"/>
        </w:rPr>
        <w:t>” has the meaning set forth in the Preamble.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beneficial owner of shares of the Series A Preferred Stock, or the Person whose name is otherwise registered for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 the books and records of the Corporation, which Person shall be treated by the Corporation as the absolute owner of such shares of Series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Preferred Stock for the purpose of making payment and settling exchanges and for all other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fullest extent permitted by 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Person that has received by transfer shares of Series A Preferred Stock in violation of this Certificate of Designations or any other agreement to which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is a party and by which the transferor or transferee is bound, shall be a Holder, and the Corporation shall not recognize any such Person as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 and the Person in whose name the shares of such Series A Preferred Stock were registered immediately prior to such transfer shall remain the Holder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Holding Entity</w:t>
      </w:r>
      <w:r>
        <w:rPr>
          <w:rFonts w:ascii="Times New Roman" w:cs="Times New Roman" w:eastAsia="Times New Roman" w:hAnsi="Times New Roman"/>
          <w:sz w:val="18"/>
          <w:szCs w:val="18"/>
          <w:color w:val="auto"/>
        </w:rPr>
        <w:t>” means, relative to any Tranche, an entity organized in a non-U.S. jurisdiction (which may be a corporation or partnership or disregarded entity for U.S. federal (and applicable state and local) tax purposes) which has no assets or liabilities other than the Tranche or those arising from the Tranche. For the avoidance of doubt, an entity that would otherwise qualify as a Holding Entity would not be treated as having liabilities solely because its holding of the Tranche may have built-in gain that could give rise to a tax liability if such Tranche were to be disposed of.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240"/>
          </w:cols>
          <w:pgMar w:left="320" w:top="228" w:right="339" w:bottom="1440" w:gutter="0" w:footer="0" w:header="0"/>
        </w:sectPr>
      </w:pPr>
    </w:p>
    <w:bookmarkStart w:id="115" w:name="page116"/>
    <w:bookmarkEnd w:id="1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means Howard Hughes Insurance Holdings,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means, as applicable at such time, either the membership interests or the common units of InsuranceCo.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means Pershing Square Holdings, Ltd. and its successors and assigns.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Issuance Notice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12(c)(ii)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Mandatory Repurchase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Mandatory Repurchase Offer Event</w:t>
      </w:r>
      <w:r>
        <w:rPr>
          <w:rFonts w:ascii="Times New Roman" w:cs="Times New Roman" w:eastAsia="Times New Roman" w:hAnsi="Times New Roman"/>
          <w:sz w:val="18"/>
          <w:szCs w:val="18"/>
          <w:color w:val="auto"/>
        </w:rPr>
        <w:t>” means any of the following: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 merger or consolidation in which (1) the Corporation is a constituent party or (2) a Subsidiary of the Corporation that holds all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substantially all of the assets or business of the Corporation and its Subsidiaries, taken as a whole, is a constituent party, except (y)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(A) the surviving or resulting corporation or (B) if the surviving or resulting corporation is a wholly owned Subsidiary of another corporation immediately following such merger or consolidation, the parent corporation of such surviving or resulting corporation or (z) any such merger or consolidation resulting in the Corporation or its applicable Subsidiary being majority owned and controlled by Investor or its Affiliates;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Change of Control, except pursuant to any transaction, sale or series of sales to Investor or its Affiliates resulting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Corporation or its applicable Subsidiary being majority owned and controlled by Investor or its Affiliates;</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 change of control of InsuranceCo, as “control” is defined in the NAIC Model Insurance Holding Company System Regulatory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Act, except pursuant to any transaction, sale or series of sales to Investor or its Affiliates resulting in InsuranceCo or its Subsidiaries holding all or substantially all of the assets of InsuranceCo and its Subsidiaries, taken as a whole, being majority owned and controlled by Investor or its Affiliates;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63" w:lineRule="auto"/>
        <w:rPr>
          <w:sz w:val="20"/>
          <w:szCs w:val="20"/>
          <w:color w:val="auto"/>
        </w:rPr>
      </w:pPr>
      <w:r>
        <w:rPr>
          <w:rFonts w:ascii="Times New Roman" w:cs="Times New Roman" w:eastAsia="Times New Roman" w:hAnsi="Times New Roman"/>
          <w:sz w:val="17"/>
          <w:szCs w:val="17"/>
          <w:color w:val="010000"/>
        </w:rPr>
        <w:t>(iv)            </w:t>
      </w:r>
      <w:r>
        <w:rPr>
          <w:rFonts w:ascii="Times New Roman" w:cs="Times New Roman" w:eastAsia="Times New Roman" w:hAnsi="Times New Roman"/>
          <w:sz w:val="17"/>
          <w:szCs w:val="17"/>
          <w:color w:val="000000"/>
        </w:rPr>
        <w:t>the sale, lease, transfer, exclusive license or other disposition, in a single transaction or series of related transactions, of all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substantially all of the assets or business of the Corporation and its Subsidiaries, taken as a whole (including through the disposition of one or more Subsidiaries holding substantially all such assets), except (1) where such sale, lease, transfer, exclusive license or other disposition is to a wholly owned Subsidiary of the Corporation or (2) where such sale, lease, transfer, exclusive license or other disposition is to Investor or its Affiliates;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any sale, lease, transfer, exclusive license or other disposition, in a single transaction or series of related transactions, of all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substantially all of the assets or business of InsuranceCo, taken as a whole (including through the disposition of one or more Subsidiaries holding substantially all such assets), except (1) where such sale, lease, transfer, exclusive license or other disposition is to a wholly owned Subsidiary of InsuranceCo or (2) where such sale, lease, transfer, exclusive license or other disposition is to Investor or its Affiliates;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240"/>
          </w:cols>
          <w:pgMar w:left="320" w:top="229" w:right="339" w:bottom="1440" w:gutter="0" w:footer="0" w:header="0"/>
        </w:sectPr>
      </w:pPr>
    </w:p>
    <w:bookmarkStart w:id="117" w:name="page118"/>
    <w:bookmarkEnd w:id="1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an Event of Noncompliance.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Mandatory Repurchase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the first share of Series A Preferred Stock was issued.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means, with respect to the Series A Preferred Stock, $7,142.85714 per share, subject to appropriate adjustment in the event of any stock dividend, stock split, combination or other similar recapitalization with respect to the Series A Preferred Stock, as applicable.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Ownership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Percentage Interest</w:t>
      </w:r>
      <w:r>
        <w:rPr>
          <w:rFonts w:ascii="Times New Roman" w:cs="Times New Roman" w:eastAsia="Times New Roman" w:hAnsi="Times New Roman"/>
          <w:sz w:val="18"/>
          <w:szCs w:val="18"/>
          <w:color w:val="auto"/>
        </w:rPr>
        <w:t>” means, with respect to the applicable Holder(s) as of a particular date, a fraction, (i) the numerator of which is the number of InsuranceCo Common Units held by such Holder(s), including any InsuranceCo Common Units that such Holder would receive if it were to exchange, as of such date, all of its shares of Series A Preferred Stock based on the Exchange Ratio and otherwise in accordance with Section 10(b) and (ii) the denominator of which is the total number of outstanding InsuranceCo Common Units as of such date (on a fully diluted basis, and inclusive of all shares of Series A Preferred Stock exchangeable into or exercisable for such InsuranceCo Common Units).  </w:t>
      </w:r>
    </w:p>
    <w:p>
      <w:pPr>
        <w:spacing w:after="0" w:line="20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natural person, partnership, limited liability company, corporation, unincorporated association, joint venture, trust, estate or any other entity or any governmental agency or political subdivision thereof.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Preemptive Rights Exercise Period</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12(c)(iii)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has the meaning set forth in the Recitals.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Preferred Stock Capital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10(b)(i)(1)</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Proposed Issuance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12(c)(i)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(tt)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means the Purchase and Sale Agreement, dated December 17, 2025, by and among the Corporation, InsuranceCo,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other parties therein.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dated as of the date hereof, by and among the Corporation, the Investor and InsuranceCo, as amended, restated, supplemented or otherwise modified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0" w:firstLine="645"/>
        <w:spacing w:after="0" w:line="258" w:lineRule="auto"/>
        <w:rPr>
          <w:sz w:val="20"/>
          <w:szCs w:val="20"/>
          <w:color w:val="auto"/>
        </w:rPr>
      </w:pPr>
      <w:r>
        <w:rPr>
          <w:rFonts w:ascii="Times New Roman" w:cs="Times New Roman" w:eastAsia="Times New Roman" w:hAnsi="Times New Roman"/>
          <w:sz w:val="18"/>
          <w:szCs w:val="18"/>
          <w:color w:val="auto"/>
        </w:rPr>
        <w:t>(ww)       “</w:t>
      </w:r>
      <w:r>
        <w:rPr>
          <w:rFonts w:ascii="Times New Roman" w:cs="Times New Roman" w:eastAsia="Times New Roman" w:hAnsi="Times New Roman"/>
          <w:sz w:val="18"/>
          <w:szCs w:val="18"/>
          <w:u w:val="single" w:color="auto"/>
          <w:color w:val="auto"/>
        </w:rPr>
        <w:t>Standstill Agreement</w:t>
      </w:r>
      <w:r>
        <w:rPr>
          <w:rFonts w:ascii="Times New Roman" w:cs="Times New Roman" w:eastAsia="Times New Roman" w:hAnsi="Times New Roman"/>
          <w:sz w:val="18"/>
          <w:szCs w:val="18"/>
          <w:color w:val="auto"/>
        </w:rPr>
        <w:t>” means the Standstill Agreement, dated as of May 5, 2025, by and between the Corporation and Pershing Square Holdco, L.P., as amended, restated, supplemented or otherwise modified from time to time.  </w:t>
      </w:r>
    </w:p>
    <w:p>
      <w:pPr>
        <w:spacing w:after="0" w:line="200" w:lineRule="exact"/>
        <w:rPr>
          <w:sz w:val="20"/>
          <w:szCs w:val="20"/>
          <w:color w:val="auto"/>
        </w:rPr>
      </w:pPr>
    </w:p>
    <w:p>
      <w:pPr>
        <w:ind w:right="20" w:firstLine="645"/>
        <w:spacing w:after="0" w:line="258" w:lineRule="auto"/>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means the Subscription Agreement, dated as of the date hereof, by and among the Corporation, the Investor and InsuranceCo, as amended, restated, supplemented or otherwise modified from time to time.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240"/>
          </w:cols>
          <w:pgMar w:left="320" w:top="228" w:right="339" w:bottom="1440" w:gutter="0" w:footer="0" w:header="0"/>
        </w:sectPr>
      </w:pPr>
    </w:p>
    <w:bookmarkStart w:id="119" w:name="page120"/>
    <w:bookmarkEnd w:id="11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(yy)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(i) a corporation a majority of whose capital stock with voting power, under ordinary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to elect a majority of the directors is at the time, directly or indirectly, owned by such Person, by a Subsidiary of such Person, or by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 and one or more Subsidiaries of such Person, (ii) a partnership in which such Person or a Subsidiary of such Person is, at the date of determination,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partner of such partnership, (iii) a limited liability company of which such Person, or a Subsidiary of such Person, is a managing member or (iv)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 (other than a corporation) in which such Person, a Subsidiary of such Person or such Person and one or more Subsidiaries of such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at the date of determination thereof, has (x) at least a majority ownership interest or (y) the power to elect or direct the election of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directors or other governing body of such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(zz)         “</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(aaa)       “</w:t>
      </w:r>
      <w:r>
        <w:rPr>
          <w:rFonts w:ascii="Times New Roman" w:cs="Times New Roman" w:eastAsia="Times New Roman" w:hAnsi="Times New Roman"/>
          <w:sz w:val="18"/>
          <w:szCs w:val="18"/>
          <w:u w:val="single" w:color="auto"/>
          <w:color w:val="auto"/>
        </w:rPr>
        <w:t>Total Capital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10(b)(i)(1)</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000"/>
        </w:rPr>
        <w:t>Section 4.               </w:t>
      </w:r>
      <w:r>
        <w:rPr>
          <w:rFonts w:ascii="Times New Roman" w:cs="Times New Roman" w:eastAsia="Times New Roman" w:hAnsi="Times New Roman"/>
          <w:sz w:val="17"/>
          <w:szCs w:val="17"/>
          <w:b w:val="1"/>
          <w:bCs w:val="1"/>
          <w:color w:val="000000"/>
        </w:rPr>
        <w:t>Ranking</w:t>
      </w:r>
      <w:r>
        <w:rPr>
          <w:rFonts w:ascii="Times New Roman" w:cs="Times New Roman" w:eastAsia="Times New Roman" w:hAnsi="Times New Roman"/>
          <w:sz w:val="17"/>
          <w:szCs w:val="17"/>
          <w:color w:val="000000"/>
        </w:rPr>
        <w:t>. The Series A Preferred Stock will rank</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i w:val="1"/>
          <w:iCs w:val="1"/>
          <w:color w:val="000000"/>
        </w:rPr>
        <w:t>pari passu</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with all common stock of the Corporation (“</w:t>
      </w:r>
      <w:r>
        <w:rPr>
          <w:rFonts w:ascii="Times New Roman" w:cs="Times New Roman" w:eastAsia="Times New Roman" w:hAnsi="Times New Roman"/>
          <w:sz w:val="17"/>
          <w:szCs w:val="17"/>
          <w:u w:val="single" w:color="auto"/>
          <w:color w:val="000000"/>
        </w:rPr>
        <w:t>Common Stock</w:t>
      </w:r>
      <w:r>
        <w:rPr>
          <w:rFonts w:ascii="Times New Roman" w:cs="Times New Roman" w:eastAsia="Times New Roman" w:hAnsi="Times New Roman"/>
          <w:sz w:val="17"/>
          <w:szCs w:val="17"/>
          <w:color w:val="000000"/>
        </w:rPr>
        <w:t>”), including, for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avoidance of doubt, with respect to payment rights and liquidation.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5.               </w:t>
      </w:r>
      <w:r>
        <w:rPr>
          <w:rFonts w:ascii="Times New Roman" w:cs="Times New Roman" w:eastAsia="Times New Roman" w:hAnsi="Times New Roman"/>
          <w:sz w:val="18"/>
          <w:szCs w:val="18"/>
          <w:b w:val="1"/>
          <w:bCs w:val="1"/>
          <w:color w:val="000000"/>
        </w:rPr>
        <w:t>Voting Rights</w:t>
      </w:r>
      <w:r>
        <w:rPr>
          <w:rFonts w:ascii="Times New Roman" w:cs="Times New Roman" w:eastAsia="Times New Roman" w:hAnsi="Times New Roman"/>
          <w:sz w:val="18"/>
          <w:szCs w:val="18"/>
          <w:color w:val="000000"/>
        </w:rPr>
        <w:t>. The Holders of Series A Preferred Stock will not have any voting rights and shall not vote with holders of the outstanding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any other class of capital stock of the Corporation, except as may otherwise from time to time be required by law or as expressly provided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any case in which the Holders shall be entitled to vote pursuant to applicable law or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each Holder entitled to vote with respect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matter shall be entitled to one vote per share of Series A Preferred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000"/>
        </w:rPr>
        <w:t>Section 6.               </w:t>
      </w:r>
      <w:r>
        <w:rPr>
          <w:rFonts w:ascii="Times New Roman" w:cs="Times New Roman" w:eastAsia="Times New Roman" w:hAnsi="Times New Roman"/>
          <w:sz w:val="17"/>
          <w:szCs w:val="17"/>
          <w:b w:val="1"/>
          <w:bCs w:val="1"/>
          <w:color w:val="000000"/>
        </w:rPr>
        <w:t>Term</w:t>
      </w:r>
      <w:r>
        <w:rPr>
          <w:rFonts w:ascii="Times New Roman" w:cs="Times New Roman" w:eastAsia="Times New Roman" w:hAnsi="Times New Roman"/>
          <w:sz w:val="17"/>
          <w:szCs w:val="17"/>
          <w:color w:val="000000"/>
        </w:rPr>
        <w:t>. The Series A Preferred Stock shall have a perpetual term unless repurchased or exchanged in accordance with</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8</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9</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7.               </w:t>
      </w:r>
      <w:r>
        <w:rPr>
          <w:rFonts w:ascii="Times New Roman" w:cs="Times New Roman" w:eastAsia="Times New Roman" w:hAnsi="Times New Roman"/>
          <w:sz w:val="18"/>
          <w:szCs w:val="18"/>
          <w:b w:val="1"/>
          <w:bCs w:val="1"/>
          <w:color w:val="000000"/>
        </w:rPr>
        <w:t>Dividends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Dividends on the Series A Preferred Stock, if any, may be declared, at the sole discretion of a majority of the Disinterested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if declared, shall be paid only out of the assets of the Corporation legally available therefor. Subject to the foregoing limitation, any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declared dividends on the Series A Preferred Stock shall not exceed the amount of cash dividends or distributions actually received by the Corporation 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InsuranceCo,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percentage of InsuranceCo Common Units into which the outstanding shares of Series A Preferred Stock would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under the Exchange Ratio, as of such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Defaulted Repurchase Dividend</w:t>
      </w:r>
      <w:r>
        <w:rPr>
          <w:rFonts w:ascii="Times New Roman" w:cs="Times New Roman" w:eastAsia="Times New Roman" w:hAnsi="Times New Roman"/>
          <w:sz w:val="17"/>
          <w:szCs w:val="17"/>
          <w:color w:val="auto"/>
        </w:rPr>
        <w:t>. If, on any Mandatory Repurchase Date, the Corporation has not met its obligation to repurchase any shares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Series A Preferred Stock pursuant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then until the date such shares have been repurchased and the aggregate repurchase price has been paid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full, the non-repurchased shares of Series A Preferred Stock shall remain outstanding and beginning on the applicable Mandatory Repurchase Date,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non-repurchased shares of Series A Preferred Stock shall bear a dividend of 10.00% of the Original Issue Price per annum (the “</w:t>
      </w:r>
      <w:r>
        <w:rPr>
          <w:rFonts w:ascii="Times New Roman" w:cs="Times New Roman" w:eastAsia="Times New Roman" w:hAnsi="Times New Roman"/>
          <w:sz w:val="18"/>
          <w:szCs w:val="18"/>
          <w:u w:val="single" w:color="auto"/>
          <w:color w:val="auto"/>
        </w:rPr>
        <w:t>Defaulted Repurchase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to the extent permitted under applicable 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240"/>
          </w:cols>
          <w:pgMar w:left="320" w:top="229" w:right="339" w:bottom="1440" w:gutter="0" w:footer="0" w:header="0"/>
        </w:sectPr>
      </w:pPr>
    </w:p>
    <w:bookmarkStart w:id="121" w:name="page122"/>
    <w:bookmarkEnd w:id="12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8.               </w:t>
      </w:r>
      <w:r>
        <w:rPr>
          <w:rFonts w:ascii="Times New Roman" w:cs="Times New Roman" w:eastAsia="Times New Roman" w:hAnsi="Times New Roman"/>
          <w:sz w:val="18"/>
          <w:szCs w:val="18"/>
          <w:b w:val="1"/>
          <w:bCs w:val="1"/>
          <w:color w:val="000000"/>
        </w:rPr>
        <w:t>Call Option.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Mechanics</w:t>
      </w:r>
      <w:r>
        <w:rPr>
          <w:rFonts w:ascii="Times New Roman" w:cs="Times New Roman" w:eastAsia="Times New Roman" w:hAnsi="Times New Roman"/>
          <w:sz w:val="18"/>
          <w:szCs w:val="18"/>
          <w:color w:val="auto"/>
        </w:rPr>
        <w:t xml:space="preserve">. At any time and from time to time, during the period between sixty (60) and ninety (90) days following each of the first seven (7) fiscal year-end dates following the Original Issue Date (beginning with the fiscal year ending December 31, 2026) or at such other times as may be mutually agreed by the Corporation and the Holders representing a majority of the Series A Preferred Stock then outstanding, to the extent not prohibited by applicable law, the Corporation shall have the right to repurchase one or more full Tranches (but not a portion of any single Tranche) of the Series A Preferred Stock, in cash at a repurchase price per share of Series A Preferred Stock equal to the Call Option Price, on the terms and subject to the conditions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Call Option</w:t>
      </w:r>
      <w:r>
        <w:rPr>
          <w:rFonts w:ascii="Times New Roman" w:cs="Times New Roman" w:eastAsia="Times New Roman" w:hAnsi="Times New Roman"/>
          <w:sz w:val="18"/>
          <w:szCs w:val="18"/>
          <w:color w:val="auto"/>
        </w:rPr>
        <w:t>”). Following the Corporation’s exercise of the Call Option with respect to any Tranche, the Holder of the applicable Series A Preferred Stock comprising such Tranche shall, in consideration of the Call Option Price, either (x) transfer such Tranche to the Corporation or (y) transfer to the Corporation the Holding Entity that holds such Tranche, in each case free and clear of all Encumbrances.  </w:t>
      </w:r>
    </w:p>
    <w:p>
      <w:pPr>
        <w:spacing w:after="0" w:line="210" w:lineRule="exact"/>
        <w:rPr>
          <w:sz w:val="20"/>
          <w:szCs w:val="20"/>
          <w:color w:val="auto"/>
        </w:rPr>
      </w:pPr>
    </w:p>
    <w:p>
      <w:pPr>
        <w:jc w:val="both"/>
        <w:ind w:firstLine="645"/>
        <w:spacing w:after="0" w:line="24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Call Option</w:t>
      </w:r>
      <w:r>
        <w:rPr>
          <w:rFonts w:ascii="Times New Roman" w:cs="Times New Roman" w:eastAsia="Times New Roman" w:hAnsi="Times New Roman"/>
          <w:sz w:val="18"/>
          <w:szCs w:val="18"/>
          <w:color w:val="auto"/>
        </w:rPr>
        <w:t xml:space="preserve">. Notice of any election by the Corporation to repurchase any Tranche of Series A Preferred Stock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made by delivery to the Holder of such Tranche written notice of the Corporation’s election to repurchase, at least thirty (30) days but no more than sixty (60) days prior to the date fixed for the Corporation’s repurchase of such Tranche (the “</w:t>
      </w:r>
      <w:r>
        <w:rPr>
          <w:rFonts w:ascii="Times New Roman" w:cs="Times New Roman" w:eastAsia="Times New Roman" w:hAnsi="Times New Roman"/>
          <w:sz w:val="18"/>
          <w:szCs w:val="18"/>
          <w:u w:val="single" w:color="auto"/>
          <w:color w:val="auto"/>
        </w:rPr>
        <w:t>Call Option Date</w:t>
      </w:r>
      <w:r>
        <w:rPr>
          <w:rFonts w:ascii="Times New Roman" w:cs="Times New Roman" w:eastAsia="Times New Roman" w:hAnsi="Times New Roman"/>
          <w:sz w:val="18"/>
          <w:szCs w:val="18"/>
          <w:color w:val="auto"/>
        </w:rPr>
        <w:t>”), which notice shall indicate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Call Option Date, (2) the Call Option Price, including a reasonably detailed calculation thereof, (3) the applicable Tranche and (4) the manner of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 designated for surrender of the shares of Series A Preferred Stock to be repurchased (or of the interests in the applicable Holding Entity) (“</w:t>
      </w:r>
      <w:r>
        <w:rPr>
          <w:rFonts w:ascii="Times New Roman" w:cs="Times New Roman" w:eastAsia="Times New Roman" w:hAnsi="Times New Roman"/>
          <w:sz w:val="17"/>
          <w:szCs w:val="17"/>
          <w:u w:val="single" w:color="auto"/>
          <w:color w:val="auto"/>
        </w:rPr>
        <w:t>Call Option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Call Option Price</w:t>
      </w:r>
      <w:r>
        <w:rPr>
          <w:rFonts w:ascii="Times New Roman" w:cs="Times New Roman" w:eastAsia="Times New Roman" w:hAnsi="Times New Roman"/>
          <w:sz w:val="17"/>
          <w:szCs w:val="17"/>
          <w:color w:val="auto"/>
        </w:rPr>
        <w:t>. The repurchase price for each share of the Series A Preferred Stock (the “</w:t>
      </w:r>
      <w:r>
        <w:rPr>
          <w:rFonts w:ascii="Times New Roman" w:cs="Times New Roman" w:eastAsia="Times New Roman" w:hAnsi="Times New Roman"/>
          <w:sz w:val="17"/>
          <w:szCs w:val="17"/>
          <w:u w:val="single" w:color="auto"/>
          <w:color w:val="auto"/>
        </w:rPr>
        <w:t>Call Option Price</w:t>
      </w:r>
      <w:r>
        <w:rPr>
          <w:rFonts w:ascii="Times New Roman" w:cs="Times New Roman" w:eastAsia="Times New Roman" w:hAnsi="Times New Roman"/>
          <w:sz w:val="17"/>
          <w:szCs w:val="17"/>
          <w:color w:val="auto"/>
        </w:rPr>
        <w:t>”) shall equal the greater of the</w:t>
      </w:r>
    </w:p>
    <w:p>
      <w:pPr>
        <w:spacing w:after="0" w:line="20" w:lineRule="exact"/>
        <w:rPr>
          <w:sz w:val="20"/>
          <w:szCs w:val="20"/>
          <w:color w:val="auto"/>
        </w:rPr>
      </w:pPr>
    </w:p>
    <w:p>
      <w:pPr>
        <w:jc w:val="both"/>
        <w:ind w:firstLine="7"/>
        <w:spacing w:after="0" w:line="251" w:lineRule="auto"/>
        <w:tabs>
          <w:tab w:leader="none" w:pos="2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Original Issue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interest, compounded daily at a rate of four percent (4%) per annum, calculated on the basis of a 365-day year, for the period commencing on the Original Issue Date through the Call Option Date and (ii) (x) 1.5 times the book value of InsuranceCo (for the avoidance of doubt, excluding non-controlling interests and good will or purchase-related intangibles attributable to the completion of the transactions contemplated by the Purchase Agreement), determined in accordance with GAAP, as reflected in the most recent quarterly or, as the case may be, annual financial statements of InsuranceCo then available,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ownership percentage of InsuranceCo represented by such share of Series A Preferred Stock (on an as-exchanged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Payment and Redemption</w:t>
      </w:r>
      <w:r>
        <w:rPr>
          <w:rFonts w:ascii="Times New Roman" w:cs="Times New Roman" w:eastAsia="Times New Roman" w:hAnsi="Times New Roman"/>
          <w:sz w:val="17"/>
          <w:szCs w:val="17"/>
          <w:color w:val="auto"/>
        </w:rPr>
        <w:t>. On the Call Option Date, the Corporation shall immediately cause to be paid in cash the applicable aggregate Call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Price to the account designated by such Holder(s) and, if applicable, the Holder(s) shall promptly deliver the Holding Entity that holds such to-be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Tranche to the Corporation. Upon such payment in full and delivery of the applicable Holding Entity(ies), if any, such shares of Series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will be deemed to have been redeemed and dividends with respect to such redeemed shares of Series A Preferred Stock shall cease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 and all designations, rights, preferences, powers, qualifications, restrictions and limitations of such redeemed shares of Series A Preferred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forthwith terminate.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9.               </w:t>
      </w:r>
      <w:r>
        <w:rPr>
          <w:rFonts w:ascii="Times New Roman" w:cs="Times New Roman" w:eastAsia="Times New Roman" w:hAnsi="Times New Roman"/>
          <w:sz w:val="18"/>
          <w:szCs w:val="18"/>
          <w:b w:val="1"/>
          <w:bCs w:val="1"/>
          <w:color w:val="000000"/>
        </w:rPr>
        <w:t>Mandatory Repurchase Offer</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Mandatory Repurchase Offer Events</w:t>
      </w:r>
      <w:r>
        <w:rPr>
          <w:rFonts w:ascii="Times New Roman" w:cs="Times New Roman" w:eastAsia="Times New Roman" w:hAnsi="Times New Roman"/>
          <w:sz w:val="18"/>
          <w:szCs w:val="18"/>
          <w:color w:val="auto"/>
        </w:rPr>
        <w:t xml:space="preserve">. The Corporation shall offer to repurchase all of the outstanding shares of Series A Preferred Stock upon the occurrence of a Mandatory Repurchase Offer Event. Upon acceptance of an offer to repurchase all of the outstanding shares of Series A Preferred Stock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Holder(s) of the applicable Series A Preferred Stock shall elect to, in consideration of the Mandatory Repurchase Price either (x) transfer such Tranche to the Corporation or (y) transfer to the Corporation the Holding Entity that holds such Tranche.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w:t>
      </w:r>
      <w:r>
        <w:rPr>
          <w:rFonts w:ascii="Times New Roman" w:cs="Times New Roman" w:eastAsia="Times New Roman" w:hAnsi="Times New Roman"/>
          <w:sz w:val="18"/>
          <w:szCs w:val="18"/>
          <w:color w:val="auto"/>
        </w:rPr>
        <w:t>. Notice of any offer by the Corporation to repurchase all of the outstanding shares of Series A Preferred Stock pursuant to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shall be made by delivery of written notice of the Corporation’s election to the Holders and shall indicate (1) the date of the mandatory repurchase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Mandatory Repurchase Date</w:t>
      </w:r>
      <w:r>
        <w:rPr>
          <w:rFonts w:ascii="Times New Roman" w:cs="Times New Roman" w:eastAsia="Times New Roman" w:hAnsi="Times New Roman"/>
          <w:sz w:val="18"/>
          <w:szCs w:val="18"/>
          <w:color w:val="auto"/>
        </w:rPr>
        <w:t>”), (2) the Mandatory Repurchase Price, including a detailed calculation thereof and (3) a reasonably detailed description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Mandatory Repurchase Offer Event.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1240"/>
          </w:cols>
          <w:pgMar w:left="320" w:top="228" w:right="339" w:bottom="1440" w:gutter="0" w:footer="0" w:header="0"/>
        </w:sectPr>
      </w:pPr>
    </w:p>
    <w:bookmarkStart w:id="123" w:name="page124"/>
    <w:bookmarkEnd w:id="1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Mandatory Repurchase Price</w:t>
      </w:r>
      <w:r>
        <w:rPr>
          <w:rFonts w:ascii="Times New Roman" w:cs="Times New Roman" w:eastAsia="Times New Roman" w:hAnsi="Times New Roman"/>
          <w:sz w:val="18"/>
          <w:szCs w:val="18"/>
          <w:color w:val="auto"/>
        </w:rPr>
        <w:t xml:space="preserve">. Upon acceptance by a Holder of an offer to repurchase shares of Series A Preferred Stock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each share of such Series A Preferred Stock held by such Holder will be repurchased for cash consideration in an amount equal to the greater of (i) the amount that such Holder would have been entitled to receive under the Call Option and (ii) if the Mandatory Repurchase Offer Event is a transfer in any manner of equity in InsuranceCo, directly or indirectly, the amount that such Holder would have received in such transaction if it had exchanged its Series A Preferred Stock into InsuranceCo Common Units (the “</w:t>
      </w:r>
      <w:r>
        <w:rPr>
          <w:rFonts w:ascii="Times New Roman" w:cs="Times New Roman" w:eastAsia="Times New Roman" w:hAnsi="Times New Roman"/>
          <w:sz w:val="18"/>
          <w:szCs w:val="18"/>
          <w:u w:val="single" w:color="auto"/>
          <w:color w:val="auto"/>
        </w:rPr>
        <w:t>Mandatory Repurchase Price</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Payment and Redemption</w:t>
      </w:r>
      <w:r>
        <w:rPr>
          <w:rFonts w:ascii="Times New Roman" w:cs="Times New Roman" w:eastAsia="Times New Roman" w:hAnsi="Times New Roman"/>
          <w:sz w:val="18"/>
          <w:szCs w:val="18"/>
          <w:color w:val="auto"/>
        </w:rPr>
        <w:t>. On the Mandatory Repurchase Date, the Corporation shall immediately cause to be paid in cash the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Mandatory Repurchase Price to the account designated by such Holders and, if applicable, the Holder(s) shall promptly deliver the Holding Entity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holds such to-be repurchased Tranche to the Corporation. Upon such payment in full and delivery of the applicable Holding Entity(ies), if any,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Series A Preferred Stock will be deemed to have been redeemed and dividends with respect to such redeemed shares of Series A Preferred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cease to accumulate and all designations, rights, preferences, powers, qualifications, restrictions and limitations of such redeemed shares of Series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shall forthwith terminate.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Insufficiency of Funds</w:t>
      </w:r>
      <w:r>
        <w:rPr>
          <w:rFonts w:ascii="Times New Roman" w:cs="Times New Roman" w:eastAsia="Times New Roman" w:hAnsi="Times New Roman"/>
          <w:sz w:val="18"/>
          <w:szCs w:val="18"/>
          <w:color w:val="auto"/>
        </w:rPr>
        <w:t>. If the assets of the Corporation legally available are insufficient to pay the Holders of outstanding shares of Series A Preferred Stock the full amounts to which they are entitled as of the Mandatory Repurchase Date, such Holders’ shares of Series A Preferred Stock shall be repurchased ratably, in increments of full Tranches, to the extent permitted under applicable law and such Holders shall share ratably in the payments permitted to be made under applicable law relating to distribution, and when additional funds of the Corporation become available to repurchase the remaining shares of Series A Preferred Stock following the Mandatory Repurchase Date, the Corporation shall use such funds to pay, in increments of full Tranches, the remaining balance of the aggregate Mandatory Repurchase Price to the extent permitted under applicable law.  </w:t>
      </w:r>
    </w:p>
    <w:p>
      <w:pPr>
        <w:spacing w:after="0" w:line="206"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Defaulted Repurchase Dividend Rate</w:t>
      </w:r>
      <w:r>
        <w:rPr>
          <w:rFonts w:ascii="Times New Roman" w:cs="Times New Roman" w:eastAsia="Times New Roman" w:hAnsi="Times New Roman"/>
          <w:sz w:val="18"/>
          <w:szCs w:val="18"/>
          <w:color w:val="auto"/>
        </w:rPr>
        <w:t xml:space="preserve">. If, on the Mandatory Repurchase Date, the Corporation has not met its obligation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to repurchase any shares of the Series A Preferred Stock by paying the entire Mandatory Repurchase Price then, beginning on the Mandatory Repurchase Date and continuing until such shares are fully repurchased and the aggregate Mandatory Repurchase Price is paid in full, (A) all of the non-repurchased shares shall remain outstanding and continue to have the rights, preferences and privileges expressed herein; (B) to the extent permitted under applicable law, all of the non-repurchased shares of Series A Preferred Stock shall bear the Defaulted Repurchase Dividend Rate; (C) the Corporation shall not declare or pay any distributions, dividends, redemptions or otherwise make funds available in respect of the securities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to the Series A Preferred Stock; and (D) the Corporation shall use commercially reasonable efforts to take action to generate sufficient funds to repurchase the remainder of the shares of Series A Preferred Stock in full, to the extent permitted under applicable law.  </w:t>
      </w:r>
    </w:p>
    <w:p>
      <w:pPr>
        <w:spacing w:after="0" w:line="210"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Corporation Efforts</w:t>
      </w:r>
      <w:r>
        <w:rPr>
          <w:rFonts w:ascii="Times New Roman" w:cs="Times New Roman" w:eastAsia="Times New Roman" w:hAnsi="Times New Roman"/>
          <w:sz w:val="18"/>
          <w:szCs w:val="18"/>
          <w:color w:val="auto"/>
        </w:rPr>
        <w:t>. The Corporation shall take such commercially reasonable actions as are necessary to meet its obligations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including in the event the Corporation is prohibited by law from redeeming or is otherwise unable to repurchase any shares of Series A Preferred Stock in connection with any Mandatory Repurchase Offer Event on the applicable Mandatory Repurchase Date, taking any commercially reasonable action necessary or appropriate to remove promptly any impediments to its ability to redeem such shares of Series A Preferred Stock required to be so repurchased, including to the extent not prohibited by law, reducing the stated capital of the Corporation or revaluing the assets of the Corporation to their fair market values under Section 154 of the DGCL if such revaluation would create surplus sufficient to make all or any portion of such Mandatory Repurchase Offer Event payment. In the event of a Change of Control in which the Corporation is not the continuing or surviving corporation or entity, the Corporation shall use commercially reasonable efforts to require the continuing or surviving corporation or entity to agree to carry out and observe the obligations of the Corporation under this Certificate of Designations.  </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1240"/>
          </w:cols>
          <w:pgMar w:left="320" w:top="228" w:right="339" w:bottom="1440" w:gutter="0" w:footer="0" w:header="0"/>
        </w:sectPr>
      </w:pPr>
    </w:p>
    <w:bookmarkStart w:id="125" w:name="page126"/>
    <w:bookmarkEnd w:id="12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             </w:t>
      </w:r>
      <w:r>
        <w:rPr>
          <w:rFonts w:ascii="Times New Roman" w:cs="Times New Roman" w:eastAsia="Times New Roman" w:hAnsi="Times New Roman"/>
          <w:sz w:val="18"/>
          <w:szCs w:val="18"/>
          <w:b w:val="1"/>
          <w:bCs w:val="1"/>
          <w:color w:val="000000"/>
        </w:rPr>
        <w:t>Exchange of the Series A Preferred Stock; Exchange Ratio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Mechanics of Exchange</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jc w:val="both"/>
        <w:ind w:left="660" w:firstLine="645"/>
        <w:spacing w:after="0" w:line="250" w:lineRule="auto"/>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So long as any shares of Series A Preferred Stock remain outstanding, at any time within sixty (60) days after (i) the seventh (7</w:t>
      </w:r>
      <w:r>
        <w:rPr>
          <w:rFonts w:ascii="Times New Roman" w:cs="Times New Roman" w:eastAsia="Times New Roman" w:hAnsi="Times New Roman"/>
          <w:sz w:val="28"/>
          <w:szCs w:val="28"/>
          <w:color w:val="000000"/>
          <w:vertAlign w:val="superscript"/>
        </w:rPr>
        <w:t>th</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fiscal year-end that occurs following the Original Issue Date (beginning with the fiscal year ending December 31, 2026) and (ii) each subsequent fiscal year-end, each Holder may exchange, in increments of full Tranches, a number of shares of Series A Preferred Stock that exceeds 10% of its shares of Series A Preferred Stock (unless its remaining shares of Series A Preferred Stock are less than a full Tranche, in which case a Holder may exchange the remainder of such Tranche), without the payment of additional consideration, into a number of InsuranceCo Common Units at the Exchange Ratio (as defined in </w:t>
      </w:r>
      <w:r>
        <w:rPr>
          <w:rFonts w:ascii="Times New Roman" w:cs="Times New Roman" w:eastAsia="Times New Roman" w:hAnsi="Times New Roman"/>
          <w:sz w:val="17"/>
          <w:szCs w:val="17"/>
          <w:u w:val="single" w:color="auto"/>
          <w:color w:val="000000"/>
        </w:rPr>
        <w:t>Section 10(b)(i)</w:t>
      </w:r>
      <w:r>
        <w:rPr>
          <w:rFonts w:ascii="Times New Roman" w:cs="Times New Roman" w:eastAsia="Times New Roman" w:hAnsi="Times New Roman"/>
          <w:sz w:val="17"/>
          <w:szCs w:val="17"/>
          <w:color w:val="000000"/>
        </w:rPr>
        <w:t>) upon such Holder of the Series A Preferred Stock providing at least fifteen (15) days’ prior written notice to the Corporation in the form attached hereto as Annex A (“</w:t>
      </w:r>
      <w:r>
        <w:rPr>
          <w:rFonts w:ascii="Times New Roman" w:cs="Times New Roman" w:eastAsia="Times New Roman" w:hAnsi="Times New Roman"/>
          <w:sz w:val="17"/>
          <w:szCs w:val="17"/>
          <w:u w:val="single" w:color="auto"/>
          <w:color w:val="000000"/>
        </w:rPr>
        <w:t>Exchange Notice</w:t>
      </w:r>
      <w:r>
        <w:rPr>
          <w:rFonts w:ascii="Times New Roman" w:cs="Times New Roman" w:eastAsia="Times New Roman" w:hAnsi="Times New Roman"/>
          <w:sz w:val="17"/>
          <w:szCs w:val="17"/>
          <w:color w:val="000000"/>
        </w:rPr>
        <w:t>”); provided that such sixty (60) day period at the end of any applicable year shall be tolled for the duration of any Deferral Period (as defined in the Registration Rights Agreement) if the board of directors of InsuranceCo elects to defer an initial public offering or direct listing demanded in accordance with the Registration Rights Agreement. Such Holder may, in its discretion, and subject to receipt of any required regulatory approvals, satisfy its obligation to transfer Series A Preferred Stock by either (x) transferring such Tranche to the Corporation or (y) transferring to the Corporation the Holding Entity that holds such Tranche.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Corporation shall pay any and all issue and other similar taxes that may be payable in respect of any issuance or delivery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InsuranceCo Common Units in the event of an exchange of Series A Preferred Stock into InsuranceCo Common Units pursuant to this </w:t>
      </w:r>
      <w:r>
        <w:rPr>
          <w:rFonts w:ascii="Times New Roman" w:cs="Times New Roman" w:eastAsia="Times New Roman" w:hAnsi="Times New Roman"/>
          <w:sz w:val="18"/>
          <w:szCs w:val="18"/>
          <w:u w:val="single" w:color="auto"/>
          <w:color w:val="000000"/>
        </w:rPr>
        <w:t>Section 10</w:t>
      </w:r>
      <w:r>
        <w:rPr>
          <w:rFonts w:ascii="Times New Roman" w:cs="Times New Roman" w:eastAsia="Times New Roman" w:hAnsi="Times New Roman"/>
          <w:sz w:val="18"/>
          <w:szCs w:val="18"/>
          <w:color w:val="000000"/>
        </w:rPr>
        <w:t>. The Corporation shall not, however, be required to pay any tax that may be payable in respect of any transfer involved in the issuance and delivery of InsuranceCo Common Units in a name other than that in which the shares of Series A Preferred Stock so exchanged were registered, and no such issuance or delivery shall be made unless and until the person or entity requesting such issuance has paid to the Corporation the amount of any such tax or has established, to the satisfaction of the Corporation (acting reasonably), that such tax has been paid.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u w:val="single" w:color="auto"/>
          <w:color w:val="000000"/>
        </w:rPr>
        <w:t>Payment and Exchange</w:t>
      </w:r>
      <w:r>
        <w:rPr>
          <w:rFonts w:ascii="Times New Roman" w:cs="Times New Roman" w:eastAsia="Times New Roman" w:hAnsi="Times New Roman"/>
          <w:sz w:val="18"/>
          <w:szCs w:val="18"/>
          <w:color w:val="000000"/>
        </w:rPr>
        <w:t>. On the date of the exchange of shares of Series A Preferred Stock for InsuranceCo Common Units as set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forth in the applicable Exchange Notice, the Corporation shall promptly deliver to the applicable Holders (x) the number of InsuranceCo Common Units calculated in accordance with the Exchange Ratio in book entry form and (y) a book entry credit thereof on the direct registration system of InsuranceCo’s transfer agent. Upon such delivery, and, if applicable, only after delivery by the Holder of the Holding Entity that holds such to-be exchanged Tranche, such shares of Series A Preferred Stock will be deemed to have been redeemed and dividends with respect to such redeemed shares of Series A Preferred Stock shall cease to accumulate and all designations, rights, preferences, powers, qualifications, restrictions and limitations of such redeemed shares of Series A Preferred Stock shall forthwith terminate.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1240"/>
          </w:cols>
          <w:pgMar w:left="320" w:top="229" w:right="339" w:bottom="1440" w:gutter="0" w:footer="0" w:header="0"/>
        </w:sectPr>
      </w:pPr>
    </w:p>
    <w:bookmarkStart w:id="127" w:name="page128"/>
    <w:bookmarkEnd w:id="12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Upon any such exchange, no adjustment to the Exchange Ratio shall be made for any declared but unpaid dividends 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Series A Preferred Stock surrendered for exchange or on the InsuranceCo Common Units delivered upon exchange.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Prior to any such exchange, the applicable Holder(s) will, to the extent required by applicable law, either submit to and obtain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approval of the Delaware Department of Insurance of a Form A (pursuant to Section 5003(a) of the Delaware Insurance Code), an exemption from a Form A filing (pursuant to Section 5003(e) of the Delaware Insurance Code), or a new Disclaimer of Control (pursuant to Section 5004(k) of the Delaware Insurance Code).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63" w:lineRule="auto"/>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Each share of Series A Preferred Stock will be exchangeable into such number of InsuranceCo Common Units such that, upon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exchange of all Series A Preferred Stock, the Holders would own, in the aggregate, the following fraction of all issued and outstanding InsuranceCo</w:t>
      </w:r>
    </w:p>
    <w:tbl>
      <w:tblPr>
        <w:tblLayout w:type="fixed"/>
        <w:tblInd w:w="0" w:type="dxa"/>
        <w:tblCellMar>
          <w:top w:w="0" w:type="dxa"/>
          <w:left w:w="0" w:type="dxa"/>
          <w:bottom w:w="0" w:type="dxa"/>
          <w:right w:w="0" w:type="dxa"/>
        </w:tblCellMar>
      </w:tblPr>
      <w:tr>
        <w:trPr>
          <w:trHeight w:val="17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280" w:type="dxa"/>
            <w:vAlign w:val="bottom"/>
            <w:gridSpan w:val="4"/>
          </w:tcPr>
          <w:p>
            <w:pPr>
              <w:ind w:left="300"/>
              <w:spacing w:after="0" w:line="176" w:lineRule="exact"/>
              <w:rPr>
                <w:sz w:val="20"/>
                <w:szCs w:val="20"/>
                <w:color w:val="auto"/>
              </w:rPr>
            </w:pPr>
            <w:r>
              <w:rPr>
                <w:rFonts w:ascii="Times New Roman" w:cs="Times New Roman" w:eastAsia="Times New Roman" w:hAnsi="Times New Roman"/>
                <w:sz w:val="18"/>
                <w:szCs w:val="18"/>
                <w:color w:val="auto"/>
              </w:rPr>
              <w:t>Common Units (the “Exchange Ratio”):</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Preferred Stock Capital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2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i w:val="1"/>
                <w:iCs w:val="1"/>
                <w:color w:val="auto"/>
                <w:w w:val="99"/>
              </w:rPr>
              <w:t>Total Capital  </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80" w:type="dxa"/>
            <w:vAlign w:val="bottom"/>
            <w:gridSpan w:val="4"/>
            <w:vMerge w:val="restart"/>
          </w:tcPr>
          <w:p>
            <w:pPr>
              <w:ind w:left="158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where: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28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2580" w:hanging="315"/>
        <w:spacing w:after="0" w:line="249" w:lineRule="auto"/>
        <w:tabs>
          <w:tab w:leader="none" w:pos="2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Capital</w:t>
      </w:r>
      <w:r>
        <w:rPr>
          <w:rFonts w:ascii="Times New Roman" w:cs="Times New Roman" w:eastAsia="Times New Roman" w:hAnsi="Times New Roman"/>
          <w:sz w:val="18"/>
          <w:szCs w:val="18"/>
          <w:color w:val="auto"/>
        </w:rPr>
        <w:t xml:space="preserve">” shall be equal to, as of the applicable date of determination, (i) the aggregate purchase price paid for primary acquisitions of the Series A Preferred Stock, whether on the date hereof or hereafter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 the aggregate of (x) each dividend received on or prior to such date by the Corporation from InsuranceCo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Holders’ Percentage Interest of InsuranceCo Common Units as of the record date for such dividend, </w:t>
      </w:r>
      <w:r>
        <w:rPr>
          <w:rFonts w:ascii="Times New Roman" w:cs="Times New Roman" w:eastAsia="Times New Roman" w:hAnsi="Times New Roman"/>
          <w:sz w:val="18"/>
          <w:szCs w:val="18"/>
          <w:i w:val="1"/>
          <w:iCs w:val="1"/>
          <w:color w:val="auto"/>
        </w:rPr>
        <w:t>reduced by</w:t>
      </w:r>
      <w:r>
        <w:rPr>
          <w:rFonts w:ascii="Times New Roman" w:cs="Times New Roman" w:eastAsia="Times New Roman" w:hAnsi="Times New Roman"/>
          <w:sz w:val="18"/>
          <w:szCs w:val="18"/>
          <w:color w:val="auto"/>
        </w:rPr>
        <w:t xml:space="preserve"> (but not below zero) (B) the aggregate amount of any such dividends that were, on or prior to such date, paid by the Corporation to the Holders through a dividend on the Series A Preferred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if applicable, all dividends owed under the Defaulted Repurchase Dividend Rate </w:t>
      </w:r>
      <w:r>
        <w:rPr>
          <w:rFonts w:ascii="Times New Roman" w:cs="Times New Roman" w:eastAsia="Times New Roman" w:hAnsi="Times New Roman"/>
          <w:sz w:val="18"/>
          <w:szCs w:val="18"/>
          <w:i w:val="1"/>
          <w:iCs w:val="1"/>
          <w:color w:val="auto"/>
        </w:rPr>
        <w:t>reduced by</w:t>
      </w:r>
      <w:r>
        <w:rPr>
          <w:rFonts w:ascii="Times New Roman" w:cs="Times New Roman" w:eastAsia="Times New Roman" w:hAnsi="Times New Roman"/>
          <w:sz w:val="18"/>
          <w:szCs w:val="18"/>
          <w:color w:val="auto"/>
        </w:rPr>
        <w:t xml:space="preserve"> (but not below zero) all such dividends paid to Holders at any time on or prior to such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2580" w:right="20" w:hanging="315"/>
        <w:spacing w:after="0" w:line="249" w:lineRule="auto"/>
        <w:tabs>
          <w:tab w:leader="none" w:pos="2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Capital</w:t>
      </w:r>
      <w:r>
        <w:rPr>
          <w:rFonts w:ascii="Times New Roman" w:cs="Times New Roman" w:eastAsia="Times New Roman" w:hAnsi="Times New Roman"/>
          <w:sz w:val="18"/>
          <w:szCs w:val="18"/>
          <w:color w:val="auto"/>
        </w:rPr>
        <w:t xml:space="preserve">” shall be equal to, as of the applicable date of determination, (i) the Adjusted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any additional capital contributed to InsuranceCo by the Corporation on or after the date hereof.</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i w:val="1"/>
          <w:iCs w:val="1"/>
          <w:color w:val="000000"/>
        </w:rPr>
        <w:t>Illustrative Example</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2580"/>
        <w:spacing w:after="0" w:line="249" w:lineRule="auto"/>
        <w:rPr>
          <w:sz w:val="20"/>
          <w:szCs w:val="20"/>
          <w:color w:val="auto"/>
        </w:rPr>
      </w:pP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As of the determination date set forth in the applicable Holder’s Exchange Notice (t) the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paid for all Series A Preferred Stock is $802 million; (u) there have been no additional primary acquisitions of Series A Preferred Stock; (v) InsuranceCo declared and paid an aggregate of $100 million of dividends on the InsuranceCo Common Units ($30 million paid in each of years 1 and 2 and $40 million paid in year 3); (w) the Holders’ Percentage Interest in InsuranceCo in year 1 and 2 was 40% and in year 3 was 35%; (x) no dividends have been paid by the Corporation to the Holders in respect of the Series A Preferred Stock; (y) the Corporation contributes no additional capital to InsuranceCo after the date hereof; and (z) the Adjusted Consideration is $2.1 billion.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1240"/>
          </w:cols>
          <w:pgMar w:left="320" w:top="228" w:right="339" w:bottom="1440" w:gutter="0" w:footer="0" w:header="0"/>
        </w:sectPr>
      </w:pPr>
    </w:p>
    <w:bookmarkStart w:id="129" w:name="page130"/>
    <w:bookmarkEnd w:id="1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2580"/>
        <w:spacing w:after="0" w:line="249" w:lineRule="auto"/>
        <w:rPr>
          <w:sz w:val="20"/>
          <w:szCs w:val="20"/>
          <w:color w:val="auto"/>
        </w:rPr>
      </w:pPr>
      <w:r>
        <w:rPr>
          <w:rFonts w:ascii="Times New Roman" w:cs="Times New Roman" w:eastAsia="Times New Roman" w:hAnsi="Times New Roman"/>
          <w:sz w:val="18"/>
          <w:szCs w:val="18"/>
          <w:color w:val="auto"/>
        </w:rPr>
        <w:t xml:space="preserve">In such case, the Preferred Stock Capital would equal $840 million (being $802 million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$24 million in dividends attributed to such Holder in year 1 and 2 ($30 million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0.4 for each year) and $14 million in dividends attributable to the Holders in year 3 ($40 million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0.35),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$0), and the Exchange Ratio would equal 0.4 or 40% (being $840 million divided by $2.1 billion).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63" w:lineRule="auto"/>
        <w:rPr>
          <w:sz w:val="20"/>
          <w:szCs w:val="20"/>
          <w:color w:val="auto"/>
        </w:rPr>
      </w:pPr>
      <w:r>
        <w:rPr>
          <w:rFonts w:ascii="Times New Roman" w:cs="Times New Roman" w:eastAsia="Times New Roman" w:hAnsi="Times New Roman"/>
          <w:sz w:val="17"/>
          <w:szCs w:val="17"/>
          <w:color w:val="010000"/>
        </w:rPr>
        <w:t>(ii)            </w:t>
      </w:r>
      <w:r>
        <w:rPr>
          <w:rFonts w:ascii="Times New Roman" w:cs="Times New Roman" w:eastAsia="Times New Roman" w:hAnsi="Times New Roman"/>
          <w:sz w:val="17"/>
          <w:szCs w:val="17"/>
          <w:color w:val="000000"/>
        </w:rPr>
        <w:t>In addition, in the event of any equity splits, reverse splits, recapitalizations, stock dividends or other similar events related to either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InsuranceCo Common Units or Series A Preferred Stock, the Exchange Ratio shall be appropriately adjusted so that each Holder is entitled to receive the number of InsuranceCo Common Units which the Holder would have owned or been entitled to receive, had each share of the Series A Preferred Stock been exchanged immediately prior to such equity split, reverse split, recapitalization, stock dividend or other similar event.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Within ten (10) Business Days after receipt of an Exchange Notice, the Corporation shall deliver to the Holder a written statement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u w:val="single" w:color="auto"/>
          <w:color w:val="000000"/>
        </w:rPr>
        <w:t>Exchange Calculation Statement</w:t>
      </w:r>
      <w:r>
        <w:rPr>
          <w:rFonts w:ascii="Times New Roman" w:cs="Times New Roman" w:eastAsia="Times New Roman" w:hAnsi="Times New Roman"/>
          <w:sz w:val="18"/>
          <w:szCs w:val="18"/>
          <w:color w:val="000000"/>
        </w:rPr>
        <w:t>”) setting forth in reasonable detail the calculations of Preferred Stock Capital, Total Capital and the resulting Exchange Ratio and providing reasonable supporting information sufficient to validate such calculations.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Ownership Cap</w:t>
      </w:r>
      <w:r>
        <w:rPr>
          <w:rFonts w:ascii="Times New Roman" w:cs="Times New Roman" w:eastAsia="Times New Roman" w:hAnsi="Times New Roman"/>
          <w:sz w:val="18"/>
          <w:szCs w:val="18"/>
          <w:color w:val="auto"/>
        </w:rPr>
        <w:t>. In no event will any of the Holders, or the Holders in the aggregate, be permitted to acquire more than 49% of the total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InsuranceCo Common Units outstanding (the “</w:t>
      </w:r>
      <w:r>
        <w:rPr>
          <w:rFonts w:ascii="Times New Roman" w:cs="Times New Roman" w:eastAsia="Times New Roman" w:hAnsi="Times New Roman"/>
          <w:sz w:val="17"/>
          <w:szCs w:val="17"/>
          <w:u w:val="single" w:color="auto"/>
          <w:color w:val="auto"/>
        </w:rPr>
        <w:t>Ownership Cap</w:t>
      </w:r>
      <w:r>
        <w:rPr>
          <w:rFonts w:ascii="Times New Roman" w:cs="Times New Roman" w:eastAsia="Times New Roman" w:hAnsi="Times New Roman"/>
          <w:sz w:val="17"/>
          <w:szCs w:val="17"/>
          <w:color w:val="auto"/>
        </w:rPr>
        <w:t>”) without the approval of a majority of the Disinterested Directors. To the extent the Holders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have the right to exchange their Series A Preferred Stock and have delivered an Exchange Notice, but are prohibited from completing all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portion of the exchange due to the Ownership Cap, the Corporation will repurchase such excess portion of shares of Series A Preferred Stock requested to be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exchanged on the same terms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11.             </w:t>
      </w:r>
      <w:r>
        <w:rPr>
          <w:rFonts w:ascii="Times New Roman" w:cs="Times New Roman" w:eastAsia="Times New Roman" w:hAnsi="Times New Roman"/>
          <w:sz w:val="18"/>
          <w:szCs w:val="18"/>
          <w:b w:val="1"/>
          <w:bCs w:val="1"/>
          <w:color w:val="000000"/>
        </w:rPr>
        <w:t>Resolution of Calculation Disputes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If Investor (or such other Holder duly designated by the Holders representing a majority of the Series A Preferred Stock then outstanding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 the representative of all Holders for purposes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disagrees with the Corporation’s determination of (i) the Call Option Price set forth in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Call Option Notice delivered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(ii) the mandatory repurchase price for any offer by the Corporation to repurchase all of the outstanding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shares of Series A Preferred Stock set forth in the notice delivered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or (iii) the Exchange Ratio set forth in an Exchange Calculation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Statement delivered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Investor shall notify the Corporation in writing within fifteen (15) days after receipt thereof, specifying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detail those amounts as to which Investor disagrees and setting forth Investor’s calculation of such disputed amounts (a “</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not disputed within such fifteen (15)-day period shall be deemed final, conclusive and binding upon the Corporation and the Holders, for purposes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Call Option Notice or Exchange Calculation Statement, as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If a Dispute Notice has been timely delivered by Investor pursuant to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the Corporation and Investor shall discuss in good faith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attempt to mutually agree on any disputed amounts set forth in such Dispute Notice for a period of fifteen (15) days following delivery of such Dispute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(as such period may be extended by the mutual written agreement of the Corporation and Investor). If the Corporation and Investor resolve their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differences over the disputed amounts in such Dispute Notice in accordance with the foregoing procedure, the applicable Call Option Price or Exchange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shall be revised to reflect such resolution and shall be final, conclusive and binding upon the Corporation and the Holders, for purposes of such Call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Notice or Exchange Calculation Statement, as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1240"/>
          </w:cols>
          <w:pgMar w:left="320" w:top="229" w:right="339" w:bottom="1440" w:gutter="0" w:footer="0" w:header="0"/>
        </w:sectPr>
      </w:pPr>
    </w:p>
    <w:bookmarkStart w:id="131" w:name="page132"/>
    <w:bookmarkEnd w:id="13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If the Corporation and Investor fail to resolve their differences over the disputed items in a Dispute Notice within such fifteen (15)-day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period set forth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then the Corporation and Investor shall promptly, jointly request that (i) a nationally recognized independent public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firm as shall be mutually agreed by the Corporation and Investor, or (ii) if the Corporation and Investor are unable to agree upon such firm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ten (10) Business Days after such fifteen (15)-day period (as such time period may be extended by the mutual agreement of the Corporation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then within an additional ten (10) Business Days, the Corporation and Investor shall each select one such firm and those two firms shall, within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(10) Business Days after their selection, select a third firm (the firm selected in accordance with clause (i) or the third firm selected in accordance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clause (ii), as applicable, the “</w:t>
      </w:r>
      <w:r>
        <w:rPr>
          <w:rFonts w:ascii="Times New Roman" w:cs="Times New Roman" w:eastAsia="Times New Roman" w:hAnsi="Times New Roman"/>
          <w:sz w:val="17"/>
          <w:szCs w:val="17"/>
          <w:u w:val="single" w:color="auto"/>
          <w:color w:val="auto"/>
        </w:rPr>
        <w:t>Independent Accountant</w:t>
      </w:r>
      <w:r>
        <w:rPr>
          <w:rFonts w:ascii="Times New Roman" w:cs="Times New Roman" w:eastAsia="Times New Roman" w:hAnsi="Times New Roman"/>
          <w:sz w:val="17"/>
          <w:szCs w:val="17"/>
          <w:color w:val="auto"/>
        </w:rPr>
        <w:t>”), make a binding determination only as to the disputed amounts in the Dispute Notice in accordance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terms of this Certificate of Designations. The Independent Accountant will, under the terms of its engagement, (A) act as an expert and not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arbitrator and (B) have no more than thirty (30) days from the date of referral within which to render its written decision with respect to such disputed items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amounts. The Independent Accountant shall consider only those amounts in the Dispute Notice as to which the Corporation and Investor are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(d)            The Independent Accountant’s determination shall be made in accordance with the terms of this Certificate of Designations and based solely on the written submissions of the Corporation and Investor (and not on an independent investigation), and the Independent Accountant shall not assign a value to any disputed item greater than the greatest value claimed by the Corporation or less than the smallest value claimed by Investor, as applicable. The Independent Accountant shall deliver its written determination within thirty (30) days of engagement. Such determination shall be final, conclusive and binding on the Corporation and the Holders absent fraud or manifest error. The fees and expenses of the Independent Accountant shall be allocated equally between the Corporation, on the one hand, and the Holders, on the other hand, with such Holder fees and expenses to be borne amongst the Holders relative to their ownership of Series A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with respect to such fees and expenses attributable to Investor and its Subsidiaries, such allocation of fees and expenses shall be joint and several). Promptly after any matter is referred to the Independent Accountant under </w:t>
      </w:r>
      <w:r>
        <w:rPr>
          <w:rFonts w:ascii="Times New Roman" w:cs="Times New Roman" w:eastAsia="Times New Roman" w:hAnsi="Times New Roman"/>
          <w:sz w:val="18"/>
          <w:szCs w:val="18"/>
          <w:u w:val="single" w:color="auto"/>
          <w:color w:val="auto"/>
        </w:rPr>
        <w:t>Section 11(c) </w:t>
      </w:r>
      <w:r>
        <w:rPr>
          <w:rFonts w:ascii="Times New Roman" w:cs="Times New Roman" w:eastAsia="Times New Roman" w:hAnsi="Times New Roman"/>
          <w:sz w:val="18"/>
          <w:szCs w:val="18"/>
          <w:color w:val="auto"/>
        </w:rPr>
        <w:t xml:space="preserve">the Corporation and Investor shall deliver to the Independent Accountant copies of any schedules or documentation that may reasonably be required or requested by the Independent Accountant to make its determination. Each of the Corporation and Investor shall be entitled to submit to the Independent Accountant a memorandum setting forth its position with respect to the disputed amounts, which shall also be provided to the Corporation and Investor, as applicable. Neither the Corporation nor any Holder shall be permitted to communicate with the Independent Accountant other than as expressly set forth herein, and no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communications with the Independent Accountant shall be permitted in any event.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              </w:t>
      </w:r>
      <w:r>
        <w:rPr>
          <w:rFonts w:ascii="Times New Roman" w:cs="Times New Roman" w:eastAsia="Times New Roman" w:hAnsi="Times New Roman"/>
          <w:sz w:val="18"/>
          <w:szCs w:val="18"/>
          <w:b w:val="1"/>
          <w:bCs w:val="1"/>
          <w:color w:val="000000"/>
        </w:rPr>
        <w:t>Protective Provisions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(a)            Any decisions to be made by the Corporation with respect to or affecting the Series A Preferred Stock will be made by a majority of the Disinterested Directors and in accordance with this Certificate of Designations.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1240"/>
          </w:cols>
          <w:pgMar w:left="320" w:top="228" w:right="339" w:bottom="1440" w:gutter="0" w:footer="0" w:header="0"/>
        </w:sectPr>
      </w:pPr>
    </w:p>
    <w:bookmarkStart w:id="133" w:name="page134"/>
    <w:bookmarkEnd w:id="13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Following the date hereof and subject to the terms of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Disinterested Directors will exercise all decision making with respect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or affecting the Series A Preferred Stock pursuant to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 long as any share of the Series A Preferred Stock 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the Corporation shall not, either directly or indirectly, do any of the following without (in addition to any other vote required by law or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the affirmative vote or written consent of at least a majority of the shares of Series A Preferred Stock then outstanding,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consenting or voting (as the case may be) separately as a class, and any such act or transaction entered into without such consent or vote shall be null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void ab initio and of no force or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create (by reclassification or otherwise), issue, offer or sell (A) any additional shares or Tranches of Series A Preferred Stock,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 any new class or series of shares, capital stock or other equity interests of the Corporation having rights, preferences or privileges senior to the Series A Preferred Stock, or (C) except as expressly permitted by Section 5(a) of the Subscription Agreement, any new class or series of units, capital stock or other equity interests of InsuranceCo having rights, preferences or privileges senior to the InsuranceCo Common Units;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except as expressly permitted by Section 5(a) of the Subscription Agreement, issue additional equity interests of InsuranceCo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(including any instruments exchangeable into or exercisable for such equity interests);</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right="20" w:firstLine="645"/>
        <w:spacing w:after="0" w:line="249"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alter the powers, preferences or special rights of the Series A Preferred Stock in a manner that would materially or adversely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change the rights or preferences of the Series A Preferred Stock; or</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amend the Certificate of Incorporation (including this Certificate of Designations), bylaws or any other constitutive document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Corporation, if such amendment would reasonably be expected to materially or adversely affect any Holder or impede any Holder from realizing the benefit of such rights or preferences.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Preemptive Rights</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Following the date hereof, in the event that (x) InsuranceCo proposes to issue any equity interests of InsuranceCo or (y) a Subsidiary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InsuranceCo proposes to issue any equity interests to InsuranceCo or another Subsidiary of InsuranceCo, (in each case including any instruments exchangeable into or exercisable for such equity interests) to any Person (each a “</w:t>
      </w:r>
      <w:r>
        <w:rPr>
          <w:rFonts w:ascii="Times New Roman" w:cs="Times New Roman" w:eastAsia="Times New Roman" w:hAnsi="Times New Roman"/>
          <w:sz w:val="18"/>
          <w:szCs w:val="18"/>
          <w:u w:val="single" w:color="auto"/>
          <w:color w:val="000000"/>
        </w:rPr>
        <w:t>Proposed Issuance</w:t>
      </w:r>
      <w:r>
        <w:rPr>
          <w:rFonts w:ascii="Times New Roman" w:cs="Times New Roman" w:eastAsia="Times New Roman" w:hAnsi="Times New Roman"/>
          <w:sz w:val="18"/>
          <w:szCs w:val="18"/>
          <w:color w:val="000000"/>
        </w:rPr>
        <w:t xml:space="preserve">”), each Holder, shall have the right (but not the obligation) to purchase an amount of shares of the Series A Preferred Stock required for such Holder to maintain its Percentage Interest, at the same price per share and same terms as the Proposed Issuance (with the applicable price and terms of each share of Series A Preferred Stock determined on an equitable look-through, as-exchanged basis). Notwithstanding the foregoing, Excluded Issuances shall not constitute a Proposed Issuance and shall not give rise to preemptive rights under this </w:t>
      </w:r>
      <w:r>
        <w:rPr>
          <w:rFonts w:ascii="Times New Roman" w:cs="Times New Roman" w:eastAsia="Times New Roman" w:hAnsi="Times New Roman"/>
          <w:sz w:val="18"/>
          <w:szCs w:val="18"/>
          <w:u w:val="single" w:color="auto"/>
          <w:color w:val="000000"/>
        </w:rPr>
        <w:t>Section 12(c)</w:t>
      </w:r>
      <w:r>
        <w:rPr>
          <w:rFonts w:ascii="Times New Roman" w:cs="Times New Roman" w:eastAsia="Times New Roman" w:hAnsi="Times New Roman"/>
          <w:sz w:val="18"/>
          <w:szCs w:val="18"/>
          <w:color w:val="000000"/>
        </w:rPr>
        <w:t>. As used herein, “</w:t>
      </w:r>
      <w:r>
        <w:rPr>
          <w:rFonts w:ascii="Times New Roman" w:cs="Times New Roman" w:eastAsia="Times New Roman" w:hAnsi="Times New Roman"/>
          <w:sz w:val="18"/>
          <w:szCs w:val="18"/>
          <w:u w:val="single" w:color="auto"/>
          <w:color w:val="000000"/>
        </w:rPr>
        <w:t>Excluded Issuances</w:t>
      </w:r>
      <w:r>
        <w:rPr>
          <w:rFonts w:ascii="Times New Roman" w:cs="Times New Roman" w:eastAsia="Times New Roman" w:hAnsi="Times New Roman"/>
          <w:sz w:val="18"/>
          <w:szCs w:val="18"/>
          <w:color w:val="000000"/>
        </w:rPr>
        <w:t>” means any of the following: (A) issuances of equity interests pursuant to any equity incentive plan, stock option plan, or similar compensatory arrangement and (B) issuances of equity interests in connection with any stock split, stock dividend, or similar recapitalization.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At least thirty (30) days prior to closing a Proposed Issuance, the Corporation shall give written notice (the “</w:t>
      </w:r>
      <w:r>
        <w:rPr>
          <w:rFonts w:ascii="Times New Roman" w:cs="Times New Roman" w:eastAsia="Times New Roman" w:hAnsi="Times New Roman"/>
          <w:sz w:val="18"/>
          <w:szCs w:val="18"/>
          <w:u w:val="single" w:color="auto"/>
          <w:color w:val="000000"/>
        </w:rPr>
        <w:t>Issuance Notice</w:t>
      </w:r>
      <w:r>
        <w:rPr>
          <w:rFonts w:ascii="Times New Roman" w:cs="Times New Roman" w:eastAsia="Times New Roman" w:hAnsi="Times New Roman"/>
          <w:sz w:val="18"/>
          <w:szCs w:val="18"/>
          <w:color w:val="000000"/>
        </w:rPr>
        <w: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Proposed Issuance to each Holder. Each Issuance Notice shall set forth in reasonable detail: (A) the class and minimum and maximum number of InsuranceCo equity interests proposed to be issued in the following ninety (90) days; (B) the Proposed Issuance date(s); (C) the proposed purchase price per new InsuranceCo equity interest; (D) a calculation of such Holder’s Percentage Interest, (E) the number (or range based on the minimum and maximum number of shares issued) and price per share of Series A Preferred Stock available for purchase by such Holder in connection with the Proposed Issuance (as to each Holder, the “</w:t>
      </w:r>
      <w:r>
        <w:rPr>
          <w:rFonts w:ascii="Times New Roman" w:cs="Times New Roman" w:eastAsia="Times New Roman" w:hAnsi="Times New Roman"/>
          <w:sz w:val="18"/>
          <w:szCs w:val="18"/>
          <w:u w:val="single" w:color="auto"/>
          <w:color w:val="000000"/>
        </w:rPr>
        <w:t>Allotted Shares</w:t>
      </w:r>
      <w:r>
        <w:rPr>
          <w:rFonts w:ascii="Times New Roman" w:cs="Times New Roman" w:eastAsia="Times New Roman" w:hAnsi="Times New Roman"/>
          <w:sz w:val="18"/>
          <w:szCs w:val="18"/>
          <w:color w:val="000000"/>
        </w:rPr>
        <w:t>”), and (F) such other information as the Corporation determines is reasonably necessary for the Holders to evaluate the Proposed Issuance, provided that the Holders shall have the opportunity to ask follow-up questions and reasonably request any additional information to evaluate the Proposed Issuance.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1240"/>
          </w:cols>
          <w:pgMar w:left="320" w:top="229" w:right="339" w:bottom="1440" w:gutter="0" w:footer="0" w:header="0"/>
        </w:sectPr>
      </w:pPr>
    </w:p>
    <w:bookmarkStart w:id="135" w:name="page136"/>
    <w:bookmarkEnd w:id="13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Each Holder may exercise its right to purchase all or any portion of its Allotted Shares by delivering written notice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Corporation stating therein the quantity of shares of Series A Preferred Stock to be purchased, within twenty (20) days following receipt of the Issuance Notice (the “</w:t>
      </w:r>
      <w:r>
        <w:rPr>
          <w:rFonts w:ascii="Times New Roman" w:cs="Times New Roman" w:eastAsia="Times New Roman" w:hAnsi="Times New Roman"/>
          <w:sz w:val="18"/>
          <w:szCs w:val="18"/>
          <w:u w:val="single" w:color="auto"/>
          <w:color w:val="000000"/>
        </w:rPr>
        <w:t>Preemptive Rights Exercise Period</w:t>
      </w:r>
      <w:r>
        <w:rPr>
          <w:rFonts w:ascii="Times New Roman" w:cs="Times New Roman" w:eastAsia="Times New Roman" w:hAnsi="Times New Roman"/>
          <w:sz w:val="18"/>
          <w:szCs w:val="18"/>
          <w:color w:val="000000"/>
        </w:rPr>
        <w:t>”). Failure to deliver such notice within the Preemptive Rights Exercise Period shall be deemed an irrevocable waiver of such Holder’s preemptive rights with respect to such Proposed Issuance. If a Holder determines to exercise its rights under this Section 12(c), the Corporation shall issue such shares of Series A Preferred Stock to such exercising Holders concurrently with the Proposed Issuance (or, in the event all Allotted Shares are purchased, as soon as reasonably practicable and no later than the date such Proposed Issuance was contemplated to occur).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To the extent any Holder elects to purchase less than all of its Allotted Shares, such Holder shall provide prompt written notice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shortfall to the remaining Holders (with a copy of such notice to the Corporation) and the remaining Holders shall have the right to purchase such remaining Allotted Shares on a pro rata basis (based on their respective Percentage Interests) at the price per share of Series A Preferred Stock set forth in the Issuance Notice. Any Holder electing to purchase such unsubscribed shares of Series A Preferred Stock shall provide written notice of such purchase to the Corporation within five (5) Business Days of receiving such prompt written notice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At the expiration of the Preemptive Rights Exercise Period, InsuranceCo shall be free to consummate the Proposed Issuance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terms and conditions no more favorable to the proposed purchaser(s) than those set forth in the Issuance Notice, provided that such Proposed Issuance is consummated within ninety (90) days following the expiration of the Preemptive Rights Exercise Period. If such Proposed Issuance is not consummated within such ninety (90)-day period, the issuance of additional equity interests of InsuranceCo shall again become subject to the preemptive rights as set forth in this </w:t>
      </w:r>
      <w:r>
        <w:rPr>
          <w:rFonts w:ascii="Times New Roman" w:cs="Times New Roman" w:eastAsia="Times New Roman" w:hAnsi="Times New Roman"/>
          <w:sz w:val="18"/>
          <w:szCs w:val="18"/>
          <w:u w:val="single" w:color="auto"/>
          <w:color w:val="000000"/>
        </w:rPr>
        <w:t>Section 12(c)</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The parties acknowledge that the rights set forth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12(c) </w:t>
      </w:r>
      <w:r>
        <w:rPr>
          <w:rFonts w:ascii="Times New Roman" w:cs="Times New Roman" w:eastAsia="Times New Roman" w:hAnsi="Times New Roman"/>
          <w:sz w:val="18"/>
          <w:szCs w:val="18"/>
          <w:color w:val="000000"/>
        </w:rPr>
        <w:t>are unique and that a breach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12(c) </w:t>
      </w:r>
      <w:r>
        <w:rPr>
          <w:rFonts w:ascii="Times New Roman" w:cs="Times New Roman" w:eastAsia="Times New Roman" w:hAnsi="Times New Roman"/>
          <w:sz w:val="18"/>
          <w:szCs w:val="18"/>
          <w:color w:val="000000"/>
        </w:rPr>
        <w:t>would cause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irreparable harm for which monetary damages would be an inadequate remedy. Accordingly, the Holders shall be entitled to seek specific performance and injunctive or other equitable relief as a remedy for any such breach, without the requirement of posting a bond or other security.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For the avoidance of doubt, any issuance of equity interests (or any rights, options, warrants or other instruments convertible into,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exchangeable for or otherwise exercisable for equity interests), or any transaction having substantially similar economic effect (including through joint ventures, structured financings, synthetic equity arrangements, or issuances by Subsidiaries or Affiliates), shall be deemed a Proposed Issuance for purposes of this </w:t>
      </w:r>
      <w:r>
        <w:rPr>
          <w:rFonts w:ascii="Times New Roman" w:cs="Times New Roman" w:eastAsia="Times New Roman" w:hAnsi="Times New Roman"/>
          <w:sz w:val="18"/>
          <w:szCs w:val="18"/>
          <w:u w:val="single" w:color="auto"/>
          <w:color w:val="000000"/>
        </w:rPr>
        <w:t>Section 12(c)</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000"/>
        </w:rPr>
        <w:t>Section 13.          </w:t>
      </w:r>
      <w:r>
        <w:rPr>
          <w:rFonts w:ascii="Times New Roman" w:cs="Times New Roman" w:eastAsia="Times New Roman" w:hAnsi="Times New Roman"/>
          <w:sz w:val="17"/>
          <w:szCs w:val="17"/>
          <w:b w:val="1"/>
          <w:bCs w:val="1"/>
          <w:color w:val="000000"/>
        </w:rPr>
        <w:t>Transfer</w:t>
      </w:r>
      <w:r>
        <w:rPr>
          <w:rFonts w:ascii="Times New Roman" w:cs="Times New Roman" w:eastAsia="Times New Roman" w:hAnsi="Times New Roman"/>
          <w:sz w:val="17"/>
          <w:szCs w:val="17"/>
          <w:color w:val="000000"/>
        </w:rPr>
        <w:t>. The Series A Preferred Stock may be transferred, in increments of full Tranches, subject in each case to compliance with, and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receipt of any approvals required under, state insurance laws, state and federal securities laws or other applicable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transferee will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the terms of this Certificate of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during the first seven (7) fiscal years following the Original Issue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with the fiscal year ending December 31, 2026), the consent of the Corporation shall be required for a Holder to transfer Series A Preferred Stock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Person other than an Affiliate of Investor.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1240"/>
          </w:cols>
          <w:pgMar w:left="320" w:top="228" w:right="339" w:bottom="1440" w:gutter="0" w:footer="0" w:header="0"/>
        </w:sectPr>
      </w:pPr>
    </w:p>
    <w:bookmarkStart w:id="137" w:name="page138"/>
    <w:bookmarkEnd w:id="1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14.          </w:t>
      </w:r>
      <w:r>
        <w:rPr>
          <w:rFonts w:ascii="Times New Roman" w:cs="Times New Roman" w:eastAsia="Times New Roman" w:hAnsi="Times New Roman"/>
          <w:sz w:val="18"/>
          <w:szCs w:val="18"/>
          <w:b w:val="1"/>
          <w:bCs w:val="1"/>
          <w:color w:val="000000"/>
        </w:rPr>
        <w:t>InsuranceCo Obligations</w:t>
      </w:r>
      <w:r>
        <w:rPr>
          <w:rFonts w:ascii="Times New Roman" w:cs="Times New Roman" w:eastAsia="Times New Roman" w:hAnsi="Times New Roman"/>
          <w:sz w:val="18"/>
          <w:szCs w:val="18"/>
          <w:color w:val="000000"/>
        </w:rPr>
        <w:t>. The Corporation shall, and shall cause InsuranceCo to comply with their respective obligations under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15.            </w:t>
      </w:r>
      <w:r>
        <w:rPr>
          <w:rFonts w:ascii="Times New Roman" w:cs="Times New Roman" w:eastAsia="Times New Roman" w:hAnsi="Times New Roman"/>
          <w:sz w:val="18"/>
          <w:szCs w:val="18"/>
          <w:b w:val="1"/>
          <w:bCs w:val="1"/>
          <w:color w:val="000000"/>
        </w:rPr>
        <w:t>Taxes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(a)            The Series A Preferred Stock is intended to be treated as equity of the Corporation that is not “preferred stock” within the meaning of Section 305 of the Internal Revenue Code of 1986, as amended, for U.S. federal, state, local tax laws and non-U.S. tax laws.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All payments and distributions (or deemed distributions) on the shares of Series A Preferred Stock (and any other securities issued 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Series A Preferred Stock) will be subject to withholding and backup withholding of taxes to the extent required by law, subject to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exemptions, and amounts withheld, if any, will be treated as received by the Holders. The relevant payor shall (i) notify the applicable Holders of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withholding as soon as reasonably practicable, and (ii) cooperate with the applicable Holders to reduce or eliminate any amounts that would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be withheld.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010000"/>
        </w:rPr>
        <w:t>Section 16.          </w:t>
      </w:r>
      <w:r>
        <w:rPr>
          <w:rFonts w:ascii="Times New Roman" w:cs="Times New Roman" w:eastAsia="Times New Roman" w:hAnsi="Times New Roman"/>
          <w:sz w:val="18"/>
          <w:szCs w:val="18"/>
          <w:b w:val="1"/>
          <w:bCs w:val="1"/>
          <w:color w:val="000000"/>
        </w:rPr>
        <w:t>Waiver</w:t>
      </w:r>
      <w:r>
        <w:rPr>
          <w:rFonts w:ascii="Times New Roman" w:cs="Times New Roman" w:eastAsia="Times New Roman" w:hAnsi="Times New Roman"/>
          <w:sz w:val="18"/>
          <w:szCs w:val="18"/>
          <w:color w:val="000000"/>
        </w:rPr>
        <w:t>. Except as otherwise set forth herein, any of the rights, powers, preferences and other terms of the Series A Preferred Stock set forth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herein may be waived on behalf of all Holders by the affirmative vote or written consent of at least a majority of the shares of Series A Preferred Stock.  </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010000"/>
        </w:rPr>
        <w:t>Section 17.          </w:t>
      </w:r>
      <w:r>
        <w:rPr>
          <w:rFonts w:ascii="Times New Roman" w:cs="Times New Roman" w:eastAsia="Times New Roman" w:hAnsi="Times New Roman"/>
          <w:sz w:val="18"/>
          <w:szCs w:val="18"/>
          <w:b w:val="1"/>
          <w:bCs w:val="1"/>
          <w:color w:val="000000"/>
        </w:rPr>
        <w:t>Notices</w:t>
      </w:r>
      <w:r>
        <w:rPr>
          <w:rFonts w:ascii="Times New Roman" w:cs="Times New Roman" w:eastAsia="Times New Roman" w:hAnsi="Times New Roman"/>
          <w:sz w:val="18"/>
          <w:szCs w:val="18"/>
          <w:color w:val="000000"/>
        </w:rPr>
        <w:t>. Any notice required or permitted by the provisions of this Certificate of Designations to be given to a Holder shall be mailed, postage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prepaid, to the post office address last shown on the records of the Corporation, or given by electronic communication in compliance with the provisions of the DGCL, and shall be deemed sent upon such mailing or electronic transmission (except, in the event of any communication or confirmation automatically generated by electronic means (such as out-of-office replies), such electronic transmission shall not be deemed sent until confirmation of receipt thereof). Each Holder shall be entitled to the benefits of the notification provisions and preemptive rights set out in the Subscription Agreement.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18.          </w:t>
      </w:r>
      <w:r>
        <w:rPr>
          <w:rFonts w:ascii="Times New Roman" w:cs="Times New Roman" w:eastAsia="Times New Roman" w:hAnsi="Times New Roman"/>
          <w:sz w:val="18"/>
          <w:szCs w:val="18"/>
          <w:b w:val="1"/>
          <w:bCs w:val="1"/>
          <w:color w:val="000000"/>
        </w:rPr>
        <w:t>Severability</w:t>
      </w:r>
      <w:r>
        <w:rPr>
          <w:rFonts w:ascii="Times New Roman" w:cs="Times New Roman" w:eastAsia="Times New Roman" w:hAnsi="Times New Roman"/>
          <w:sz w:val="18"/>
          <w:szCs w:val="18"/>
          <w:color w:val="000000"/>
        </w:rPr>
        <w:t>. If any provision of this Certificate of Designations is invalid, illegal or unenforceable, the balance of this Certificate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Designations shall remain in effect, and if any provision is inapplicable to any Person or circumstance, it shall nevertheless remain applicable to all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and circumstances.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000"/>
        </w:rPr>
        <w:t>Section 19.          </w:t>
      </w:r>
      <w:r>
        <w:rPr>
          <w:rFonts w:ascii="Times New Roman" w:cs="Times New Roman" w:eastAsia="Times New Roman" w:hAnsi="Times New Roman"/>
          <w:sz w:val="17"/>
          <w:szCs w:val="17"/>
          <w:b w:val="1"/>
          <w:bCs w:val="1"/>
          <w:color w:val="000000"/>
        </w:rPr>
        <w:t>Headings</w:t>
      </w:r>
      <w:r>
        <w:rPr>
          <w:rFonts w:ascii="Times New Roman" w:cs="Times New Roman" w:eastAsia="Times New Roman" w:hAnsi="Times New Roman"/>
          <w:sz w:val="17"/>
          <w:szCs w:val="17"/>
          <w:color w:val="000000"/>
        </w:rPr>
        <w:t>. The headings contained herein are for convenience only, do not constitute a part of this Certificate of Designations, and shall not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deemed to limit or affect any of the provisions 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20.          </w:t>
      </w:r>
      <w:r>
        <w:rPr>
          <w:rFonts w:ascii="Times New Roman" w:cs="Times New Roman" w:eastAsia="Times New Roman" w:hAnsi="Times New Roman"/>
          <w:sz w:val="18"/>
          <w:szCs w:val="18"/>
          <w:b w:val="1"/>
          <w:bCs w:val="1"/>
          <w:color w:val="000000"/>
        </w:rPr>
        <w:t>Interpretation</w:t>
      </w:r>
      <w:r>
        <w:rPr>
          <w:rFonts w:ascii="Times New Roman" w:cs="Times New Roman" w:eastAsia="Times New Roman" w:hAnsi="Times New Roman"/>
          <w:sz w:val="18"/>
          <w:szCs w:val="18"/>
          <w:color w:val="000000"/>
        </w:rPr>
        <w:t>. Unless the context otherwise requires, (i) a term has the meaning assigned to it herein, (ii) words in the singular include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plural, and in the plural include the singular, (iii) “or” is not exclusive, (iv) “will” shall be interpreted to express a command, (v) “including” means including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limitation, (vi) reference to any Section or clause refer to the corresponding Section or clause, respectively, of this Certificate of Designations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any reference to a day or number of days, unless expressly referred to as a Business Day, shall mean the respective calendar day or number of calendar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1240"/>
          </w:cols>
          <w:pgMar w:left="320" w:top="229" w:right="339" w:bottom="1440" w:gutter="0" w:footer="0" w:header="0"/>
        </w:sectPr>
      </w:pPr>
    </w:p>
    <w:bookmarkStart w:id="139" w:name="page140"/>
    <w:bookmarkEnd w:id="1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40" w:firstLine="645"/>
        <w:spacing w:after="0" w:line="249"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 witness whereof</w:t>
      </w:r>
      <w:r>
        <w:rPr>
          <w:rFonts w:ascii="Times New Roman" w:cs="Times New Roman" w:eastAsia="Times New Roman" w:hAnsi="Times New Roman"/>
          <w:sz w:val="18"/>
          <w:szCs w:val="18"/>
          <w:color w:val="auto"/>
        </w:rPr>
        <w:t>, Howard Hughes Holdings Inc. has caused this Certificate of Designations to be signed by David O’Reilly, its Chief Executive Officer, this 4th day of June, 2026.</w:t>
      </w:r>
    </w:p>
    <w:tbl>
      <w:tblPr>
        <w:tblLayout w:type="fixed"/>
        <w:tblInd w:w="0" w:type="dxa"/>
        <w:tblCellMar>
          <w:top w:w="0" w:type="dxa"/>
          <w:left w:w="0" w:type="dxa"/>
          <w:bottom w:w="0" w:type="dxa"/>
          <w:right w:w="0" w:type="dxa"/>
        </w:tblCellMar>
      </w:tblPr>
      <w:tr>
        <w:trPr>
          <w:trHeight w:val="197"/>
        </w:trPr>
        <w:tc>
          <w:tcPr>
            <w:tcW w:w="20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0"/>
        </w:trPr>
        <w:tc>
          <w:tcPr>
            <w:tcW w:w="2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spacing w:after="0"/>
              <w:rPr>
                <w:sz w:val="16"/>
                <w:szCs w:val="16"/>
                <w:color w:val="auto"/>
              </w:rPr>
            </w:pPr>
          </w:p>
        </w:tc>
        <w:tc>
          <w:tcPr>
            <w:tcW w:w="56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David O’Reilly</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4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Designations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EXCHANGE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IN ORDER TO EXCHANGE SHARES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PREFERRED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undersigned hereby elects to exchange the number of shares of Series A preferred stock, par value $0.01 per share, of Howard Hughes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its Series A preferred stock,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indicated below, into common units of Howard Hughes Insurance Holdings, LLC, a Delaware limited liability company (the “</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according to the conditions set forth in the Certificate of Designations of the Series A Preferred Stock, as of the date written below. The undersigned hereby acknowledges that all applicable InsuranceCo Common Units shall be issued in the name of the applicable record holder of such Series A Preferred Stock as it appears in the shareholder records of the Corporation.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calculations: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effect exchange:______________________________________________________________________________________________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A Preferred Stock owned prior to exchange: 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A Preferred Stock to be exchanged:_________________________________________________________________</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[HOLDER]</w:t>
            </w:r>
          </w:p>
        </w:tc>
      </w:tr>
      <w:tr>
        <w:trPr>
          <w:trHeight w:val="21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60" w:type="dxa"/>
            <w:vAlign w:val="bottom"/>
          </w:tcPr>
          <w:p>
            <w:pPr>
              <w:spacing w:after="0"/>
              <w:rPr>
                <w:sz w:val="18"/>
                <w:szCs w:val="18"/>
                <w:color w:val="auto"/>
              </w:rPr>
            </w:pPr>
          </w:p>
        </w:tc>
      </w:tr>
      <w:tr>
        <w:trPr>
          <w:trHeight w:val="23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0"/>
        </w:trPr>
        <w:tc>
          <w:tcPr>
            <w:tcW w:w="28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ind w:left="2800"/>
              <w:spacing w:after="0" w:line="190"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r>
      <w:tr>
        <w:trPr>
          <w:trHeight w:val="21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spacing w:after="0"/>
              <w:rPr>
                <w:sz w:val="20"/>
                <w:szCs w:val="20"/>
                <w:color w:val="auto"/>
              </w:rPr>
            </w:pPr>
          </w:p>
        </w:tc>
        <w:tc>
          <w:tcPr>
            <w:tcW w:w="506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9"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99.46</w:t>
      </w:r>
      <w:r>
        <w:rPr>
          <w:rFonts w:ascii="Times New Roman" w:cs="Times New Roman" w:eastAsia="Times New Roman" w:hAnsi="Times New Roman"/>
          <w:sz w:val="18"/>
          <w:szCs w:val="18"/>
          <w:color w:val="auto"/>
        </w:rPr>
        <w:t> </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80" w:firstLine="645"/>
        <w:spacing w:after="0" w:line="253" w:lineRule="auto"/>
        <w:rPr>
          <w:sz w:val="20"/>
          <w:szCs w:val="20"/>
          <w:color w:val="auto"/>
        </w:rPr>
      </w:pPr>
      <w:r>
        <w:rPr>
          <w:rFonts w:ascii="Times New Roman" w:cs="Times New Roman" w:eastAsia="Times New Roman" w:hAnsi="Times New Roman"/>
          <w:sz w:val="18"/>
          <w:szCs w:val="18"/>
          <w:color w:val="auto"/>
        </w:rPr>
        <w:t>THIS REGISTRATION RIGHTS AGREEMENT, dated as of June 4,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Pershing Square Holdings, Ltd., a limited company organized under the laws of Guernsey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Howard Hughes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Howard Hughes Insurance Holdings, LLC, a Delaware limited liability company (the “</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0" w:firstLine="645"/>
        <w:spacing w:after="0" w:line="249" w:lineRule="auto"/>
        <w:rPr>
          <w:sz w:val="20"/>
          <w:szCs w:val="20"/>
          <w:color w:val="auto"/>
        </w:rPr>
      </w:pPr>
      <w:r>
        <w:rPr>
          <w:rFonts w:ascii="Times New Roman" w:cs="Times New Roman" w:eastAsia="Times New Roman" w:hAnsi="Times New Roman"/>
          <w:sz w:val="18"/>
          <w:szCs w:val="18"/>
          <w:color w:val="auto"/>
        </w:rPr>
        <w:t>WHEREAS, Purchaser has, pursuant to the terms of that certain Subscription Agreement, dated as of the date thereof, by and between the Purchaser, Company and InsuranceCo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agreed, among other things, to purchase one hundred forty thousand (140,000) shares of the Series A Non-Voting Exchangeable Perpetual Preferred Stock, par value $0.01 per share, of the Company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ind w:right="520" w:firstLine="645"/>
        <w:spacing w:after="0" w:line="253" w:lineRule="auto"/>
        <w:rPr>
          <w:sz w:val="20"/>
          <w:szCs w:val="20"/>
          <w:color w:val="auto"/>
        </w:rPr>
      </w:pPr>
      <w:r>
        <w:rPr>
          <w:rFonts w:ascii="Times New Roman" w:cs="Times New Roman" w:eastAsia="Times New Roman" w:hAnsi="Times New Roman"/>
          <w:sz w:val="18"/>
          <w:szCs w:val="18"/>
          <w:color w:val="auto"/>
        </w:rPr>
        <w:t>WHEREAS, the Series A Preferred Stock is, in specified circumstances, exchangeable into a number of common units of InsuranceCo (the “</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subject to the terms and conditions of the Certificate of Designations of Series A Preferred Stock, dated as of the date hereof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and the Subscription Agreement (such exchange, the “</w:t>
      </w:r>
      <w:r>
        <w:rPr>
          <w:rFonts w:ascii="Times New Roman" w:cs="Times New Roman" w:eastAsia="Times New Roman" w:hAnsi="Times New Roman"/>
          <w:sz w:val="18"/>
          <w:szCs w:val="18"/>
          <w:u w:val="single" w:color="auto"/>
          <w:color w:val="auto"/>
        </w:rPr>
        <w:t>InsuranceCo Exchange</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right="80" w:firstLine="645"/>
        <w:spacing w:after="0" w:line="253" w:lineRule="auto"/>
        <w:rPr>
          <w:sz w:val="20"/>
          <w:szCs w:val="20"/>
          <w:color w:val="auto"/>
        </w:rPr>
      </w:pPr>
      <w:r>
        <w:rPr>
          <w:rFonts w:ascii="Times New Roman" w:cs="Times New Roman" w:eastAsia="Times New Roman" w:hAnsi="Times New Roman"/>
          <w:sz w:val="18"/>
          <w:szCs w:val="18"/>
          <w:color w:val="auto"/>
        </w:rPr>
        <w:t>WHEREAS, the Company and the Purchaser desire to define certain registration rights with respect to the InsuranceCo Common Units and certain other securities on the terms and subject to the conditions herein set forth in order to assure that the InsuranceCo Common Units shall, following the InsuranceCo Exchange, be freely transferable by the Holder in accordance with applicable laws; and  </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NOW, THEREFORE, in consideration of the foregoing premises and for other good and valuable consideration, the parties hereby agree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respective meanings set forth below: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40"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particular Person shall mean any other Person controlling, controlled by or under common control with such particular Person. For the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mean the possession, directly or indirectly, of the power to direct the management and policies of a Person whether through the ownership of voting securities, contract or otherwise;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shall mean any day other than (i) a Saturday, (ii) a Sunday, or (iii) any day on which commercial banks in New York, New York 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or authorized to close by law or executive order;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shall mean the New York Stock Exchange, the Nasdaq Stock Market or any successor to any of the foregoing.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20" w:firstLine="64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or any successor federal statute, and the rules and regulations of the SEC promulgated thereunder, all as the same may be amended and shall be in effect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mean the Financial Industry Regulatory Authority;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any holder of Series A Preferred Stock or Registrable Securities subject to this Agreement, solely in their capacity as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Permitted Assignees;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2.7(c)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2.7(c)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Initiating Holder(s)</w:t>
      </w:r>
      <w:r>
        <w:rPr>
          <w:rFonts w:ascii="Times New Roman" w:cs="Times New Roman" w:eastAsia="Times New Roman" w:hAnsi="Times New Roman"/>
          <w:sz w:val="17"/>
          <w:szCs w:val="17"/>
          <w:color w:val="auto"/>
        </w:rPr>
        <w:t>” shall mean any Holder, with respect to the Registrable Securities as to which such Holder submits a Demand Notice pursuant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Exchange</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 under the Securities Act, relating to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of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2.7(a) </w:t>
      </w:r>
      <w:r>
        <w:rPr>
          <w:rFonts w:ascii="Times New Roman" w:cs="Times New Roman" w:eastAsia="Times New Roman" w:hAnsi="Times New Roman"/>
          <w:sz w:val="18"/>
          <w:szCs w:val="18"/>
          <w:color w:val="auto"/>
        </w:rPr>
        <w:t>hereof;</w:t>
      </w:r>
    </w:p>
    <w:p>
      <w:pPr>
        <w:sectPr>
          <w:pgSz w:w="11900" w:h="16838" w:orient="portrait"/>
          <w:cols w:equalWidth="0" w:num="1">
            <w:col w:w="11260"/>
          </w:cols>
          <w:pgMar w:left="320" w:top="117" w:right="319" w:bottom="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Unitholders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2.1(c)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Holders</w:t>
      </w:r>
      <w:r>
        <w:rPr>
          <w:rFonts w:ascii="Times New Roman" w:cs="Times New Roman" w:eastAsia="Times New Roman" w:hAnsi="Times New Roman"/>
          <w:sz w:val="18"/>
          <w:szCs w:val="18"/>
          <w:color w:val="auto"/>
        </w:rPr>
        <w:t>” shall mean Holders participating in the Registration relating to the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Assignee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group (including a “group” under Section 13(d) of the Exchange Act), a partnership, a corporation, a limited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an association, a joint stock company, a trust, a joint venture, an unincorporated organization and a government or agency or political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subdivision 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520" w:firstLine="64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(including any preliminary, final or summary prospectus) included in any Registration Statement, all amendments and supplements to such prospectus and all other material incorporated by reference in such prospectus;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Employee Unit</w:t>
      </w:r>
      <w:r>
        <w:rPr>
          <w:rFonts w:ascii="Times New Roman" w:cs="Times New Roman" w:eastAsia="Times New Roman" w:hAnsi="Times New Roman"/>
          <w:sz w:val="18"/>
          <w:szCs w:val="18"/>
          <w:color w:val="auto"/>
        </w:rPr>
        <w:t>” shall mean (i) rights and options issued in the ordinary course of business under employee benefits plans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or any predecessor or otherwise to executives in compensation arrangements approved by the Board of Directors of InsuranceCo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predecessor and any securities issued after the date hereof upon exercise of such rights and options and options issued to employees of InsuranceCo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predecessor as a result of adjustments to options in connection with the reorganization of InsuranceCo or any predecessor and (ii) restricted securities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units issued after the date hereof in the ordinary course of business under employee benefit plans and securities issued after the date hereof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any such restricted units;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shall mean a registration effected by preparing and (i) filing a Registration Statement in compliance with the Securities Act (and any post-effective amendments filed or required to be filed) and the declaration or ordering of effectiveness of such Registration Statement, or (ii) filing a Prospectus and/or prospectus supplement in respect of an appropriate effective Registration Statement;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right="20" w:hanging="648"/>
        <w:spacing w:after="0" w:line="249"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InsuranceCo Common Units acquired or held by the Purchaser on or after the date of the InsuranceCo Exchange (whether or not acquired in connection with the Subscription Agreement or otherwise);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right="200" w:hanging="648"/>
        <w:spacing w:after="0" w:line="249"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securities of InsuranceCo or its Affiliates issued as a dividend or other distribution with respect to, or in exchange for or in conversion, exercise or replacement of, any Registrable Securities described in clause (i) (the “</w:t>
      </w:r>
      <w:r>
        <w:rPr>
          <w:rFonts w:ascii="Times New Roman" w:cs="Times New Roman" w:eastAsia="Times New Roman" w:hAnsi="Times New Roman"/>
          <w:sz w:val="18"/>
          <w:szCs w:val="18"/>
          <w:u w:val="single" w:color="auto"/>
          <w:color w:val="auto"/>
        </w:rPr>
        <w:t>Initial Securities</w:t>
      </w:r>
      <w:r>
        <w:rPr>
          <w:rFonts w:ascii="Times New Roman" w:cs="Times New Roman" w:eastAsia="Times New Roman" w:hAnsi="Times New Roman"/>
          <w:sz w:val="18"/>
          <w:szCs w:val="18"/>
          <w:color w:val="auto"/>
        </w:rPr>
        <w:t>”) or securities that may become Registrable Securities by virtue of clause (C); (B) any securities of InsuranceCo or its Affiliates offered wholly or partly in consideration of the Initial Securities or securities that may become Registrable Securities by virtue of clause (C) in any tender or exchange offer; or (C) any securities of InsuranceCo or its Affiliates issued as a dividend or other distribution with respect to, or in exchange for or in conversion, exercise or replacement of or offered wholly or partly in any tender or exchange offer in consideration of any Registrable Securities described in clause (A) or (B);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right="360" w:hanging="648"/>
        <w:spacing w:after="0" w:line="249"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Registrable Securities described in clause (i) or (ii) above acquired or held by a Person, for which rights and obligations have been assigned pursuant to clause (ii)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in accordance with the terms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as to any particular Registrable Securities, such securities shall cease to be Registrable Securities (1) when a Registration Statement with respect to such securities has been declared effective under the Securities Act and such securities have been disposed of pursuant to such Registration Statement, (2) after such securities have been sold in accordance with Rule 144 (but not Rule 144A), (3) after such securities shall have otherwise been transferred and new securities not subject to transfer restrictions under any federal securities laws and not bearing any legend restricting further transfer shall have been delivered by InsuranceCo, all applicable holding periods shall have expired, and no other applicable and legally binding restriction on transfer by the holder thereof shall exist, (4) when such securities are eligible for sale pursuant to Rule 144 under the Securities Act without limitation thereunder on volume or manner of sale, or (5) when such securities cease to be outstanding;  </w:t>
      </w:r>
    </w:p>
    <w:p>
      <w:pPr>
        <w:spacing w:after="0" w:line="211"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mean (i) any and all out-of-pocket expenses incurred by InsuranceCo and its Subsidiaries in effecting any Registration pursuant to this Agreement, including, without limitation, all (1) Registration and filing fees, and all other fees and expenses payable in connection with the listing of securities on any securities exchange or automated interdealer quotation system, (2)  fees and expenses of compliance with any securities or “blue sky” laws (including reasonable and documented fees and disbursements of counsel in connection with “blue sky” qualifications of the securities registered in any single transaction), (3) expenses in connection with the preparation, printing, mailing and delivery of any Registration Statements, Prospectuses, Issuer Free Writing Prospectus and other documents in connection therewith and any amendments or supplements thereto,</w:t>
      </w:r>
    </w:p>
    <w:p>
      <w:pPr>
        <w:spacing w:after="0" w:line="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(4) security engraving and printing expenses, (5) internal expenses of InsuranceCo (including, without limitation, all salaries and expenses of its officers and employees performing legal or accounting duties), (6) fees and disbursements of counsel for InsuranceCo and fees and expenses for independent certified public accountants retained by InsuranceCo (including the expenses associated with the delivery by independent certified public accountants of any comfort letters requested pursuant to the terms hereof), (7) fees and expenses of any special experts retained by InsuranceCo in connection with such Registration,</w:t>
      </w:r>
    </w:p>
    <w:p>
      <w:pPr>
        <w:spacing w:after="0" w:line="3"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7"/>
          <w:szCs w:val="17"/>
          <w:color w:val="auto"/>
        </w:rPr>
        <w:t>(8) fees and expenses in connection with any review by FINRA of any underwriting arrangements or other terms of the offering, and all reasonable fees and expenses of any “qualified independent underwriter”, (9) reasonable and documented fees and disbursements of underwriters customarily paid by issuers or sellers of securities, but excluding any underwriting fees, discounts and commissions attributable to the sale of Registrable Securities and fees and expenses of counsel, (10) costs of printing and producing any agreements among underwriters, underwriting agreements, any “blue sky” or legal investment</w:t>
      </w:r>
    </w:p>
    <w:p>
      <w:pPr>
        <w:sectPr>
          <w:pgSz w:w="11900" w:h="16838" w:orient="portrait"/>
          <w:cols w:equalWidth="0" w:num="1">
            <w:col w:w="11240"/>
          </w:cols>
          <w:pgMar w:left="320" w:top="121" w:right="339" w:bottom="0" w:gutter="0" w:footer="0" w:header="0"/>
        </w:sectPr>
      </w:pPr>
    </w:p>
    <w:bookmarkStart w:id="144" w:name="page145"/>
    <w:bookmarkEnd w:id="144"/>
    <w:p>
      <w:pPr>
        <w:ind w:right="380"/>
        <w:spacing w:after="0" w:line="275" w:lineRule="auto"/>
        <w:rPr>
          <w:sz w:val="20"/>
          <w:szCs w:val="20"/>
          <w:color w:val="auto"/>
        </w:rPr>
      </w:pPr>
      <w:r>
        <w:rPr>
          <w:rFonts w:ascii="Times New Roman" w:cs="Times New Roman" w:eastAsia="Times New Roman" w:hAnsi="Times New Roman"/>
          <w:sz w:val="17"/>
          <w:szCs w:val="17"/>
          <w:color w:val="auto"/>
        </w:rPr>
        <w:t>memoranda and any selling agreements and other documents in connection with the offering, sale or delivery of the Registrable Securities, (11) transfer agents’ and registrars’ fees and expenses and the fees and expenses of any other agent or trustee appointed in connection with such offering and</w:t>
      </w:r>
    </w:p>
    <w:p>
      <w:pPr>
        <w:spacing w:after="0" w:line="1" w:lineRule="exact"/>
        <w:rPr>
          <w:sz w:val="20"/>
          <w:szCs w:val="20"/>
          <w:color w:val="auto"/>
        </w:rPr>
      </w:pPr>
    </w:p>
    <w:p>
      <w:pPr>
        <w:ind w:right="520"/>
        <w:spacing w:after="0" w:line="249" w:lineRule="auto"/>
        <w:rPr>
          <w:sz w:val="20"/>
          <w:szCs w:val="20"/>
          <w:color w:val="auto"/>
        </w:rPr>
      </w:pPr>
      <w:r>
        <w:rPr>
          <w:rFonts w:ascii="Times New Roman" w:cs="Times New Roman" w:eastAsia="Times New Roman" w:hAnsi="Times New Roman"/>
          <w:sz w:val="18"/>
          <w:szCs w:val="18"/>
          <w:color w:val="auto"/>
        </w:rPr>
        <w:t>(12) reasonable and documented expenses relating to any analyst or investor presentations or any “road shows” undertaken in connection with the Registration, marketing or selling of the Registrable Securities in any single transaction; and (ii) reasonable and documented fees and expenses of one counsel for all of the Participating Holders, which counsel shall be selected by the Participating Holder holding the largest number of the Registrable Securities to be sold in the applicable Registration. Registration Expenses shall not include any out-of-pocket expenses of the Participating Holders;  </w:t>
      </w:r>
    </w:p>
    <w:p>
      <w:pPr>
        <w:spacing w:after="0" w:line="1" w:lineRule="exact"/>
        <w:rPr>
          <w:sz w:val="20"/>
          <w:szCs w:val="20"/>
          <w:color w:val="auto"/>
        </w:rPr>
      </w:pPr>
    </w:p>
    <w:p>
      <w:pPr>
        <w:ind w:right="100" w:firstLine="64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of InsuranceCo that covers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financial information and all material incorporated by reference in such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Shelf 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 Rule 144A</w:t>
      </w:r>
      <w:r>
        <w:rPr>
          <w:rFonts w:ascii="Times New Roman" w:cs="Times New Roman" w:eastAsia="Times New Roman" w:hAnsi="Times New Roman"/>
          <w:sz w:val="17"/>
          <w:szCs w:val="17"/>
          <w:color w:val="auto"/>
        </w:rPr>
        <w:t>” shall mean Rule 144 and Rule 144A, respectively, under the Securities Act (or any successor provisions then in force), as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may be amended and shall be in effect from time to time;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S-1 Registration Statement</w:t>
      </w:r>
      <w:r>
        <w:rPr>
          <w:rFonts w:ascii="Times New Roman" w:cs="Times New Roman" w:eastAsia="Times New Roman" w:hAnsi="Times New Roman"/>
          <w:sz w:val="18"/>
          <w:szCs w:val="18"/>
          <w:color w:val="auto"/>
        </w:rPr>
        <w:t>” shall mean a registration statement of InsuranceCo on Form S-1 (or any comparable or successor form) filed with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registering any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right="280"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Black-Out Period</w:t>
      </w:r>
      <w:r>
        <w:rPr>
          <w:rFonts w:ascii="Times New Roman" w:cs="Times New Roman" w:eastAsia="Times New Roman" w:hAnsi="Times New Roman"/>
          <w:sz w:val="18"/>
          <w:szCs w:val="18"/>
          <w:color w:val="auto"/>
        </w:rPr>
        <w:t>” shall mean the period beginning at the close of trading on the fifth (5th) trading day before the end of each fiscal quarter and fiscal year-end of the Company and ending at the start of trading on the second (2nd) trading day following the date of the Company’s public filing of its quarterly report on Form 10-Q or its annual report on Form 10-K with the SEC (and the related public earnings release);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have the meaning set forth in Section 2(a)(1) of the Securities 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40"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shall mean all underwriting discounts, selling commissions and stock transfer taxes applicable to the sale of Registrable Securities and all fees and disbursements of counsel for each of the Holders, other than the fees and expenses of one counsel for all of the Holders, which shall be paid for by InsuranceCo in accordance with the terms set forth in clause (ii) of the definition of “Registration Expenses” set forth herein;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 w:firstLine="64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shall mean a “shelf” registration statement of InsuranceCo that covers all the Registrable Securities (and may cover other securities of InsuranceCo) on Form S-3 and under Rule 415 or, if InsuranceCo is not then eligible to file on Form S-3, on Form S-1 under the Securities Act, or any successor rule that may be adopted by the SEC, and all amendments and supplements to such registration statement, including post-effective amendments, in each case including the Prospectus contained therein, all exhibits thereto and any document incorporated by reference therein;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 Person, (i) a corporation a majority of whose capital stock with voting power, under ordinary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to elect a majority of the directors is at the time, directly or indirectly, owned by such Person, by a Subsidiary of such Person, or by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 and one or more Subsidiaries of such Person, (ii) a partnership in which such Person or a Subsidiary of such Person is, at the date of determination,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partner of such partnership, (iii) a limited liability company of which such Person, or a Subsidiary of such Person, is a managing member or (iv)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 (other than a corporation) in which such Person, a Subsidiary of such Person or such Person and one or more Subsidiaries of such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at the date of determination thereof, has (x) at least a majority ownership interest or (y) the power to elect or direct the election of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directors or other governing body of such Person;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mean, individually or collectively, the Subscription Agreement, the Certificate of Designations and this Agreement, in each case, as any such agreement may be amended or restated from time to time.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 REGISTRATION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2.1            </w:t>
      </w:r>
      <w:r>
        <w:rPr>
          <w:rFonts w:ascii="Times New Roman" w:cs="Times New Roman" w:eastAsia="Times New Roman" w:hAnsi="Times New Roman"/>
          <w:sz w:val="18"/>
          <w:szCs w:val="18"/>
          <w:u w:val="single" w:color="auto"/>
          <w:color w:val="000000"/>
        </w:rPr>
        <w:t>Demand Registration</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00" w:firstLine="645"/>
        <w:spacing w:after="0" w:line="24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Request for Registration</w:t>
      </w:r>
      <w:r>
        <w:rPr>
          <w:rFonts w:ascii="Times New Roman" w:cs="Times New Roman" w:eastAsia="Times New Roman" w:hAnsi="Times New Roman"/>
          <w:sz w:val="18"/>
          <w:szCs w:val="18"/>
          <w:color w:val="auto"/>
        </w:rPr>
        <w:t xml:space="preserve">. Subject to the limitations and conditions set forth in the Certificate of Designations and </w:t>
      </w:r>
      <w:r>
        <w:rPr>
          <w:rFonts w:ascii="Times New Roman" w:cs="Times New Roman" w:eastAsia="Times New Roman" w:hAnsi="Times New Roman"/>
          <w:sz w:val="18"/>
          <w:szCs w:val="18"/>
          <w:u w:val="single" w:color="auto"/>
          <w:color w:val="auto"/>
        </w:rPr>
        <w:t>Section 2.1(b) hereof</w:t>
      </w:r>
      <w:r>
        <w:rPr>
          <w:rFonts w:ascii="Times New Roman" w:cs="Times New Roman" w:eastAsia="Times New Roman" w:hAnsi="Times New Roman"/>
          <w:sz w:val="18"/>
          <w:szCs w:val="18"/>
          <w:color w:val="auto"/>
        </w:rPr>
        <w:t>, if InsuranceCo shall receive from an Initiating Holder(s) a written demand (the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that InsuranceCo effect any Registration with respect to all or a part of the Registrable Securities owned by such Initiating Holder(s) constituting at least one (1) Tranche (as defined in the Certificate of Designations) of the Series A Preferred Shares, InsuranceCo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tabs>
          <w:tab w:leader="none" w:pos="1940"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promptly give written notice of the proposed Registration to all other Holders in accordance with the terms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121" w:right="339" w:bottom="0" w:gutter="0" w:footer="0" w:header="0"/>
        </w:sectPr>
      </w:pPr>
    </w:p>
    <w:bookmarkStart w:id="145" w:name="page146"/>
    <w:bookmarkEnd w:id="145"/>
    <w:p>
      <w:pPr>
        <w:ind w:left="1940" w:right="180" w:hanging="643"/>
        <w:spacing w:after="0" w:line="253" w:lineRule="auto"/>
        <w:tabs>
          <w:tab w:leader="none" w:pos="1940"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its reasonable best efforts to file a Registration Statement with the SEC in accordance with the request of the Initiating Holder(s), including without limitation the method of disposition specified therein and covering resales of the Registrable Securities requested to be registered, as promptly as reasonably practicable but no later than (x) in the case of a Registration Statement other than an S-1 Registration Statement, within thirty (30) days of receipt of the Demand Notice or (y) in the case of an S-1 Registration Statement, within sixty (60) days of receipt of the Demand Notice;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140" w:hanging="643"/>
        <w:spacing w:after="0" w:line="249" w:lineRule="auto"/>
        <w:tabs>
          <w:tab w:leader="none" w:pos="1940"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use reasonable best efforts to cause such Registration Statement to be declared or become effective as promptly as practicable, but in no event later than ninety (90) days after the date of initial filing of a Registration Statement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80" w:hanging="643"/>
        <w:spacing w:after="0" w:line="249" w:lineRule="auto"/>
        <w:tabs>
          <w:tab w:leader="none" w:pos="1940"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use reasonable best efforts to keep such Registration Statement continuously effective and in compliance with the Securities Act and usable for resale of such Registrable Securities for the period as requested in writing by the Initiating Holder(s) or such longer period as may be requested in writing by any Holder participating in such registration (which periods shall be extended to the extent of any suspensions of sales pursuant to </w:t>
      </w:r>
      <w:r>
        <w:rPr>
          <w:rFonts w:ascii="Times New Roman" w:cs="Times New Roman" w:eastAsia="Times New Roman" w:hAnsi="Times New Roman"/>
          <w:sz w:val="18"/>
          <w:szCs w:val="18"/>
          <w:u w:val="single" w:color="auto"/>
          <w:color w:val="auto"/>
        </w:rPr>
        <w:t>Sections 2.1(a)(iii) </w:t>
      </w:r>
      <w:r>
        <w:rPr>
          <w:rFonts w:ascii="Times New Roman" w:cs="Times New Roman" w:eastAsia="Times New Roman" w:hAnsi="Times New Roman"/>
          <w:sz w:val="18"/>
          <w:szCs w:val="18"/>
          <w:color w:val="auto"/>
        </w:rPr>
        <w:t>or (iv));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written request of the Purchaser, the Company and InsuranceCo shall, without limitation of the foregoing undertakings, and subject to Section 2.1(b), use reasonable best efforts to cause InsuranceCo to conduct an initial public offering or direct listing concurrently with any InsuranceCo Exchange, and to cause the S-1 Registration Statement to be declared or become effective so as to permit such initial public offering or direct listing;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InsuranceCo shall be permitted, with the consent of the Initiating Holder(s) not to be unreasonably withheld, to file a post-effective amendment or prospectus supplement to any currently effective Shelf Registration Statement (including the Required Shelf Registration Statement contemplated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in lieu of an additional registration statement pursuant to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to the extent InsuranceCo reasonably determines that the Registrable Securities of the Initiating Holder(s) may be sold thereunder by such Initiating Holder(s) pursuant to their intended plan of distribution (in which case such post-effective amendment or prospectus supplement shall not be counted against the limited number of demand registrations). It shall not be unreasonable if, following the recommendation of an underwriter or if such Demand Notice specified that a S-1 Registration Statement was to be filed, the Initiating Holder(s) do not consent to InsuranceCo filing a post-effective amendment or prospectus supplement to a Shelf Registration Statement in lieu of an additional registration statement requested by the Initiating Holder(s).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Notwithstanding anything to the contrary contained herein, InsuranceCo shall not be obligated to effect, or take any action to effect, any such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line="249" w:lineRule="auto"/>
        <w:tabs>
          <w:tab w:leader="none" w:pos="1940" w:val="left"/>
        </w:tabs>
        <w:numPr>
          <w:ilvl w:val="0"/>
          <w:numId w:val="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any particular jurisdiction in which InsuranceCo would be required to execute a general consent to service of process or qualify to do business in effecting such Registration, qualification or compliance, unless InsuranceCo is already subject to service in such jurisdiction and except as may be required by the Securities Act or applicable rules or regulations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tabs>
          <w:tab w:leader="none" w:pos="1940"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securities that are not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260" w:hanging="643"/>
        <w:spacing w:after="0" w:line="249" w:lineRule="auto"/>
        <w:tabs>
          <w:tab w:leader="none" w:pos="1940" w:val="left"/>
        </w:tabs>
        <w:numPr>
          <w:ilvl w:val="0"/>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InsuranceCo has notified the Holders that in the good faith judgment of InsuranceCo, it would be materially detrimental to InsuranceCo or its security holders for such registration to be effected at such time, in which event InsuranceCo shall have the right to defer such registration for a period of not more than sixty (60)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right to delay a registration pursuant to this clause (iii) shall be exercised by InsuranceCo only if InsuranceCo has generally exercised (or is concurrently exercising) similar black-out rights against holders of similar securities that have registration rights, if any;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40" w:right="40" w:hanging="643"/>
        <w:spacing w:after="0" w:line="249" w:lineRule="auto"/>
        <w:tabs>
          <w:tab w:leader="none" w:pos="1940"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solely with respect to any Affiliate of InsuranceCo, during any Scheduled Black-Out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total number of days that any such suspension, deferral or delay in registration pursuant to clauses (iii) and (iv) in the aggregate may be in effect in any one hundred eighty (180) day period shall not exceed seventy five (75) days. InsuranceCo agrees to use its reasonable best efforts to issue earnings releases as promptly as practicable following the end of quarterly reporting periods and to otherwise minimize the duration of Scheduled Black-Out Periods.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line="265" w:lineRule="auto"/>
        <w:tabs>
          <w:tab w:leader="none" w:pos="1940" w:val="left"/>
        </w:tabs>
        <w:numPr>
          <w:ilvl w:val="0"/>
          <w:numId w:val="5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Notwithstanding anything to the contrary contained herein, if in connection with any initial public offering or direct listing demanded by the Initiating Holders the Board of Directors of InsuranceCo determines in good faith, after consultation with its outside legal counsel and independent financial advisors, that (A) InsuranceCo is unable to meet the minimum listing standards of an Exchange solely as a result of the value of shares subject to the registration demand being below the minimum size for the Exchange, provided for the avoidance of doubt that InsuranceCo shall use its reasonable efforts to, and the Initiating Holder will reasonably cooperate with InsuranceCo to, effect stock splits as applicable to meet the minimum number of shares needed for the applicable Exchange, (B) conducting such initial public offering or direct listing at the requested time would be inconsistent with the fiduciary duties of the Board of Directors of the Company or InsuranceCo to their respective shareholders or members, or (C) it would be materially detrimental to the Company or InsuranceCo and their respective shareholders or members for such initial public offering or direct listing to be effected at such time due to one or more of (1) a general suspension of, or material limitation on, trading in securities on an Exchange, (2) a material disruption in the securities settlement or clearance systems in the United States, or (3) the outbreak or escalation of hostilities, the declaration of a national emergency or martial law, or the occurrence of any other calamity or crisis that, in the good faith judgment of the Board of Directors of InsuranceCo, makes it impracticable to market or price the offering, the Board of Directors of InsuranceCo may provide written notice to the Initiating Holder(s) at least thirty (30) calendar days prior to the Target IPO Date, as set forth in the notice pursuant to </w:t>
      </w:r>
      <w:r>
        <w:rPr>
          <w:rFonts w:ascii="Times New Roman" w:cs="Times New Roman" w:eastAsia="Times New Roman" w:hAnsi="Times New Roman"/>
          <w:sz w:val="17"/>
          <w:szCs w:val="17"/>
          <w:u w:val="single" w:color="auto"/>
          <w:color w:val="auto"/>
        </w:rPr>
        <w:t>Section ‎2.1(h) </w:t>
      </w:r>
      <w:r>
        <w:rPr>
          <w:rFonts w:ascii="Times New Roman" w:cs="Times New Roman" w:eastAsia="Times New Roman" w:hAnsi="Times New Roman"/>
          <w:sz w:val="17"/>
          <w:szCs w:val="17"/>
          <w:color w:val="auto"/>
        </w:rPr>
        <w:t xml:space="preserve">for the applicable Exchange Window, that it has elected to defer causing an initial public offering or direct listing to become effective pursuant to </w:t>
      </w:r>
      <w:r>
        <w:rPr>
          <w:rFonts w:ascii="Times New Roman" w:cs="Times New Roman" w:eastAsia="Times New Roman" w:hAnsi="Times New Roman"/>
          <w:sz w:val="17"/>
          <w:szCs w:val="17"/>
          <w:u w:val="single" w:color="auto"/>
          <w:color w:val="auto"/>
        </w:rPr>
        <w:t>Section ‎2.1(a) </w:t>
      </w:r>
      <w:r>
        <w:rPr>
          <w:rFonts w:ascii="Times New Roman" w:cs="Times New Roman" w:eastAsia="Times New Roman" w:hAnsi="Times New Roman"/>
          <w:sz w:val="17"/>
          <w:szCs w:val="17"/>
          <w:color w:val="auto"/>
        </w:rPr>
        <w:t>for a period of up to six (6) months (the “</w:t>
      </w:r>
      <w:r>
        <w:rPr>
          <w:rFonts w:ascii="Times New Roman" w:cs="Times New Roman" w:eastAsia="Times New Roman" w:hAnsi="Times New Roman"/>
          <w:sz w:val="17"/>
          <w:szCs w:val="17"/>
          <w:u w:val="single" w:color="auto"/>
          <w:color w:val="auto"/>
        </w:rPr>
        <w:t>Deferral Period</w:t>
      </w:r>
      <w:r>
        <w:rPr>
          <w:rFonts w:ascii="Times New Roman" w:cs="Times New Roman" w:eastAsia="Times New Roman" w:hAnsi="Times New Roman"/>
          <w:sz w:val="17"/>
          <w:szCs w:val="17"/>
          <w:color w:val="auto"/>
        </w:rPr>
        <w:t>”), provided that such written notice of the</w:t>
      </w:r>
    </w:p>
    <w:p>
      <w:pPr>
        <w:sectPr>
          <w:pgSz w:w="11900" w:h="16838" w:orient="portrait"/>
          <w:cols w:equalWidth="0" w:num="1">
            <w:col w:w="11240"/>
          </w:cols>
          <w:pgMar w:left="320" w:top="121" w:right="339" w:bottom="0" w:gutter="0" w:footer="0" w:header="0"/>
        </w:sectPr>
      </w:pPr>
    </w:p>
    <w:bookmarkStart w:id="146" w:name="page147"/>
    <w:bookmarkEnd w:id="146"/>
    <w:p>
      <w:pPr>
        <w:ind w:left="1940" w:right="20"/>
        <w:spacing w:after="0" w:line="252" w:lineRule="auto"/>
        <w:rPr>
          <w:sz w:val="20"/>
          <w:szCs w:val="20"/>
          <w:color w:val="auto"/>
        </w:rPr>
      </w:pPr>
      <w:r>
        <w:rPr>
          <w:rFonts w:ascii="Times New Roman" w:cs="Times New Roman" w:eastAsia="Times New Roman" w:hAnsi="Times New Roman"/>
          <w:sz w:val="18"/>
          <w:szCs w:val="18"/>
          <w:color w:val="auto"/>
        </w:rPr>
        <w:t>Deferral Period sets forth in reasonable detail the basis for InsuranceCo’s decision to defer the initial public offering or direct listing pursuant to this clause (v). For the avoidance of doubt, InsuranceCo shall continue to use its reasonable best efforts to take all actions required herein to prepare to effect such initial public offering or direct listing by the originally applicable deadline, and the foregoing deferral shall apply solely to the effectiveness of such initial public offering or direct listing. During the Deferral Period, InsuranceCo shall continue to use reasonable best efforts to effect at the earliest possible date, the initial public offering or direct listing. At the conclusion of such Deferral Period, the Initiating Holders will be entitled to make an additional demand.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20" w:firstLine="645"/>
        <w:spacing w:after="0" w:line="251" w:lineRule="auto"/>
        <w:rPr>
          <w:sz w:val="20"/>
          <w:szCs w:val="20"/>
          <w:color w:val="auto"/>
        </w:rPr>
      </w:pPr>
      <w:r>
        <w:rPr>
          <w:rFonts w:ascii="Times New Roman" w:cs="Times New Roman" w:eastAsia="Times New Roman" w:hAnsi="Times New Roman"/>
          <w:sz w:val="18"/>
          <w:szCs w:val="18"/>
          <w:color w:val="auto"/>
        </w:rPr>
        <w:t xml:space="preserve">(c)            The Registration Statement filed pursuant to the request of the Initiating Holder may, subject to the provisions of </w:t>
      </w:r>
      <w:r>
        <w:rPr>
          <w:rFonts w:ascii="Times New Roman" w:cs="Times New Roman" w:eastAsia="Times New Roman" w:hAnsi="Times New Roman"/>
          <w:sz w:val="18"/>
          <w:szCs w:val="18"/>
          <w:u w:val="single" w:color="auto"/>
          <w:color w:val="auto"/>
        </w:rPr>
        <w:t>Section 2.1(d) </w:t>
      </w:r>
      <w:r>
        <w:rPr>
          <w:rFonts w:ascii="Times New Roman" w:cs="Times New Roman" w:eastAsia="Times New Roman" w:hAnsi="Times New Roman"/>
          <w:sz w:val="18"/>
          <w:szCs w:val="18"/>
          <w:color w:val="auto"/>
        </w:rPr>
        <w:t>below, include shares of InsuranceCo Common Units which are held by Holders and Persons who, by virtue of agreements with InsuranceCo (other than this Agreement), are entitled to include their securities in any such Registration (such Persons, other than Holders, “</w:t>
      </w:r>
      <w:r>
        <w:rPr>
          <w:rFonts w:ascii="Times New Roman" w:cs="Times New Roman" w:eastAsia="Times New Roman" w:hAnsi="Times New Roman"/>
          <w:sz w:val="18"/>
          <w:szCs w:val="18"/>
          <w:u w:val="single" w:color="auto"/>
          <w:color w:val="auto"/>
        </w:rPr>
        <w:t>Other Unitholders</w:t>
      </w:r>
      <w:r>
        <w:rPr>
          <w:rFonts w:ascii="Times New Roman" w:cs="Times New Roman" w:eastAsia="Times New Roman" w:hAnsi="Times New Roman"/>
          <w:sz w:val="18"/>
          <w:szCs w:val="18"/>
          <w:color w:val="auto"/>
        </w:rPr>
        <w:t xml:space="preserve">”). In the event the Initiating Holder(s) request a 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connection with a distribution of Registrable Securities to its partners or members or any other Holder elects to participate in such Registration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in connection with a distribution of Registrable Securities to its partners or members, the Registration shall provide for the resale by such partners or members, if requested by such Holder.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Underwriting</w:t>
      </w:r>
      <w:r>
        <w:rPr>
          <w:rFonts w:ascii="Times New Roman" w:cs="Times New Roman" w:eastAsia="Times New Roman" w:hAnsi="Times New Roman"/>
          <w:sz w:val="17"/>
          <w:szCs w:val="17"/>
          <w:color w:val="auto"/>
        </w:rPr>
        <w:t>. If the Initiating Holder(s) intend to distribute the Registrable Securities covered by their request by means of an underwriting,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they shall so advise InsuranceCo as a part of the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If Other Unitholders or Holders, to the extent they have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registration rights under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request inclusion of their shares of InsuranceCo Common Units in the underwriting, the Initiating Holder(s) shall offer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include the shares of InsuranceCo Common Units of such Holders and Other Unitholders in the underwriting and may condition such offer on their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acceptance of the further applicable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Holders whose Registrable Securities are to be included in such Registration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shall (together with all Other Unitholders proposing to distribute their shares of InsuranceCo Common Units through such underwriting) enter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an underwriting agreement in customary form for secondary public offerings with the managing underwriter or underwriters selected for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by a majority-in-interest of the Holders whose Registrable Securities are to be included in such Registration subject to approval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not to be unreasonably withheld (which underwriters may also include a non-bookrunning co-manager selected by InsuranceCo subject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approval by a majority-in-interest of the Holders whose Registrable Securities are to be included in such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initial public offering or direct listing of InsuranceCo, the managing underwriter or underwriters shall be selected by InsuranceCo subject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Initiating Holder(s) (such approval not to be unreasonably withheld, conditioned or delayed); provided, further, that such underwriting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shall not provide for indemnification or contribution obligations on the part of any Holder or Other Unitholder greater than the obligations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under </w:t>
      </w:r>
      <w:r>
        <w:rPr>
          <w:rFonts w:ascii="Times New Roman" w:cs="Times New Roman" w:eastAsia="Times New Roman" w:hAnsi="Times New Roman"/>
          <w:sz w:val="18"/>
          <w:szCs w:val="18"/>
          <w:u w:val="single" w:color="auto"/>
          <w:color w:val="auto"/>
        </w:rPr>
        <w:t>Section 2.7(b)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if the managing underwriter or underwriters advise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in writing that marketing factors require a limitation on the number of shares to be underwritten, some or all of the securities of InsuranceCo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the Other Unitholders shall be excluded from such Registration to the extent so required by such limitation. If, after the exclusion of such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such Other Unitholders, further reductions are still required due to the marketing limitation, the number of Registrable Securities included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by each Holder (including the Initiating Holder(s)) shall be reduced on a pro rata basis (based on the number of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to be included in such registration by such Holders), by such minimum number of shares as is necessary to comply with such request. No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Registrable Securities or any other securities excluded from the underwriting by reason of the underwriter’s marketing limitation shall be included in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If any Holder or Other Unitholder who has requested inclusion in such Registration as provided above disapproves of the terms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such Person may elect to withdraw therefrom by providing written notice to InsuranceCo, the underwriter and the Initiating Holder(s).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so withdrawn shall also be withdrawn from Registration. If the underwriter has not limited the number of Registrable Securities or other securities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underwritten, InsuranceCo and executive officers and directors of InsuranceCo (whether or not such Persons have registration rights pursuant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may include its or their securities for its or their own account in such Registration if the managing underwriter or underwriters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so agree and if the number of Registrable Securities and other securities which would otherwise have been included in such Registration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will not thereby be limited.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60" w:firstLine="645"/>
        <w:spacing w:after="0" w:line="249" w:lineRule="auto"/>
        <w:rPr>
          <w:sz w:val="20"/>
          <w:szCs w:val="20"/>
          <w:color w:val="auto"/>
        </w:rPr>
      </w:pPr>
      <w:r>
        <w:rPr>
          <w:rFonts w:ascii="Times New Roman" w:cs="Times New Roman" w:eastAsia="Times New Roman" w:hAnsi="Times New Roman"/>
          <w:sz w:val="18"/>
          <w:szCs w:val="18"/>
          <w:color w:val="auto"/>
        </w:rPr>
        <w:t xml:space="preserve">(e)            The number of demand registrations that the Holders shall be entitled to request, and that InsuranceCo shall be obligated to undertake,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unlimited;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InsuranceCo shall not be obligated to undertake more than three underwritten offerings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no event shall InsuranceCo be required to effect more than one underwritten offering in any twelve-month period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(f)            In the case of an underwritten offering under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the price, underwriting discount and other financial terms for the Registrable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shall be determined by the Initiating Holder(s) ; provided, that in the case of an initial public offering or direct listing of InsuranceCo, the offering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and other material financial terms shall require the consent of the Company and InsuranceCo (such consent not to be unreasonably withheld,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conditioned or delayed).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The Company hereby agrees that it shall and shall use its reasonable best efforts to cause InsuranceCo to cooperate in good faith and 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commercially reasonable efforts to comply with their respective obligations under this Agreement. If the Company receives a Demand Notice from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Initiating Holder(s) to effect any Registration with respect to all or a part of the Registrable Securities owned by such Initiating Holder(s),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shall use its reasonable best efforts to cause InsuranceCo to comply with such Demand Notice in accordance with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subject to the limitations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Company shall not take any action, or omit to take any action, that would contravene or circumvent the rights, preferences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obligations set forth in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80" w:firstLine="645"/>
        <w:spacing w:after="0" w:line="269" w:lineRule="auto"/>
        <w:rPr>
          <w:sz w:val="20"/>
          <w:szCs w:val="20"/>
          <w:color w:val="auto"/>
        </w:rPr>
      </w:pPr>
      <w:r>
        <w:rPr>
          <w:rFonts w:ascii="Times New Roman" w:cs="Times New Roman" w:eastAsia="Times New Roman" w:hAnsi="Times New Roman"/>
          <w:sz w:val="17"/>
          <w:szCs w:val="17"/>
          <w:color w:val="auto"/>
        </w:rPr>
        <w:t>(h)            No fewer than one hundred fifty (150) days prior to the commencement of each period of time during which a Holder may deliver an Exchange Notice under Section 10(a) of the Certificate of Designations (each an “</w:t>
      </w:r>
      <w:r>
        <w:rPr>
          <w:rFonts w:ascii="Times New Roman" w:cs="Times New Roman" w:eastAsia="Times New Roman" w:hAnsi="Times New Roman"/>
          <w:sz w:val="17"/>
          <w:szCs w:val="17"/>
          <w:u w:val="single" w:color="auto"/>
          <w:color w:val="auto"/>
        </w:rPr>
        <w:t>Exchange Window</w:t>
      </w:r>
      <w:r>
        <w:rPr>
          <w:rFonts w:ascii="Times New Roman" w:cs="Times New Roman" w:eastAsia="Times New Roman" w:hAnsi="Times New Roman"/>
          <w:sz w:val="17"/>
          <w:szCs w:val="17"/>
          <w:color w:val="auto"/>
        </w:rPr>
        <w:t>”), the Company and InsuranceCo shall deliver to the Holders a written notice setting forth in reasonable detail (i) InsuranceCo’s hypothetical timeline for, and structure of, the initial public offering or direct listing of InsuranceCo’s Common Units, including a target date for such initial public offering or direct listing to occur during the applicable Exchange Window (the “</w:t>
      </w:r>
      <w:r>
        <w:rPr>
          <w:rFonts w:ascii="Times New Roman" w:cs="Times New Roman" w:eastAsia="Times New Roman" w:hAnsi="Times New Roman"/>
          <w:sz w:val="17"/>
          <w:szCs w:val="17"/>
          <w:u w:val="single" w:color="auto"/>
          <w:color w:val="auto"/>
        </w:rPr>
        <w:t>Target IPO Date</w:t>
      </w:r>
      <w:r>
        <w:rPr>
          <w:rFonts w:ascii="Times New Roman" w:cs="Times New Roman" w:eastAsia="Times New Roman" w:hAnsi="Times New Roman"/>
          <w:sz w:val="17"/>
          <w:szCs w:val="17"/>
          <w:color w:val="auto"/>
        </w:rPr>
        <w:t>”) that would arise in the event such Exchange Notice were to be delivered and (ii) confirmation of whether the Company</w:t>
      </w:r>
    </w:p>
    <w:p>
      <w:pPr>
        <w:sectPr>
          <w:pgSz w:w="11900" w:h="16838" w:orient="portrait"/>
          <w:cols w:equalWidth="0" w:num="1">
            <w:col w:w="11200"/>
          </w:cols>
          <w:pgMar w:left="320" w:top="121" w:right="379" w:bottom="0" w:gutter="0" w:footer="0" w:header="0"/>
        </w:sectPr>
      </w:pPr>
    </w:p>
    <w:bookmarkStart w:id="147" w:name="page148"/>
    <w:bookmarkEnd w:id="147"/>
    <w:p>
      <w:pPr>
        <w:ind w:right="40"/>
        <w:spacing w:after="0" w:line="252" w:lineRule="auto"/>
        <w:rPr>
          <w:sz w:val="20"/>
          <w:szCs w:val="20"/>
          <w:color w:val="auto"/>
        </w:rPr>
      </w:pPr>
      <w:r>
        <w:rPr>
          <w:rFonts w:ascii="Times New Roman" w:cs="Times New Roman" w:eastAsia="Times New Roman" w:hAnsi="Times New Roman"/>
          <w:sz w:val="18"/>
          <w:szCs w:val="18"/>
          <w:color w:val="auto"/>
        </w:rPr>
        <w:t>intends to call all outstanding Series A Preferred Shares held by the Holders prior to the next Exchange Window, and the timing and sources of financing for such repurchases. From the period such notice is received by the Holders through the last date of an Exchange Window, the Company, InsuranceCo and the Holders shall use their reasonable best efforts to evaluate and pursue an initial public offering or direct listing, with the assistance of appropriately qualified financial and legal advisors engaged by the Company, and cause InsuranceCo to successfully compete such an initial public offering or direct listing in a manner that gives effect to the Holders’ right to exchange of their shares of Series A Preferred Stock into InsuranceCo Common Units in accordance with Section 10 of the Certificate of Designations, and shall cooperate in good faith with the Holders in connection with, and keep the Holders reasonably apprised of, such efforts. Notwithstanding the foregoing, the Company, InsuranceCo and Holders representing at least a majority in interest of the Registrable Securities held by the Holders at the time in question may agree to defer any such InsuranceCo Exchange and the concurrent initial public offering or direct listing for an additional six (6) months or such other period of time as the parties mutually agree.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            In connection with any initial public offering or direct listing effected in accordance with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each party hereto shall, from time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at the reasonable request of any other party hereto and without further consideration, execute and deliver, or cause to be executed and delivered,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documents, instruments, conveyances, and assurances and take or cause to be taken such further actions as may be reasonably necessary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desirable to carry out the provisions of this Agreement and to give effect to the transactions contemplated hereby, including any initial public offering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listing.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2.2            </w:t>
      </w:r>
      <w:r>
        <w:rPr>
          <w:rFonts w:ascii="Times New Roman" w:cs="Times New Roman" w:eastAsia="Times New Roman" w:hAnsi="Times New Roman"/>
          <w:sz w:val="18"/>
          <w:szCs w:val="18"/>
          <w:u w:val="single" w:color="auto"/>
          <w:color w:val="000000"/>
        </w:rPr>
        <w:t>Piggyback Registration</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InsuranceCo shall determine to register any of its securities either (x) for its own account, (y) for the account of the Holders listed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pursuant to the terms thereof, or (z) for the account of Other Unitholders (other than (A) a Registration relating solely to Qualifying Employee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(B) a Registration relating solely to a Rule 145 transaction under the Securities Act or (C) a Registration on any Registration form which does not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 secondary sales or does not include substantially the same information as would be required to be included in a Registration Statement), InsuranceCo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subject to the conditions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60" w:hanging="643"/>
        <w:spacing w:after="0" w:line="249" w:lineRule="auto"/>
        <w:tabs>
          <w:tab w:leader="none" w:pos="1940" w:val="left"/>
        </w:tabs>
        <w:numPr>
          <w:ilvl w:val="0"/>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give to each of the Holders a written notice thereof (which shall include a list of the jurisdictions in which InsuranceCo intends to attempt to qualify such securities under the applicable blue sky or other state securities laws); and</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20" w:hanging="643"/>
        <w:spacing w:after="0" w:line="249" w:lineRule="auto"/>
        <w:tabs>
          <w:tab w:leader="none" w:pos="1940"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2.2(b) </w:t>
      </w:r>
      <w:r>
        <w:rPr>
          <w:rFonts w:ascii="Times New Roman" w:cs="Times New Roman" w:eastAsia="Times New Roman" w:hAnsi="Times New Roman"/>
          <w:sz w:val="18"/>
          <w:szCs w:val="18"/>
          <w:color w:val="auto"/>
        </w:rPr>
        <w:t xml:space="preserve">below and any transfer restrictions any Holder may be a party to, include in such Registration (and any related qualification under blue sky laws or other compliance), and in any underwriting involved therein, all the Registrable Securities specified in a written request or requests, made by the Holders. Such written request may specify all or a part of the Holders’ Registrable Securities and shall be received by InsuranceCo within ten (10) days after written notice from InsuranceCo is given under </w:t>
      </w:r>
      <w:r>
        <w:rPr>
          <w:rFonts w:ascii="Times New Roman" w:cs="Times New Roman" w:eastAsia="Times New Roman" w:hAnsi="Times New Roman"/>
          <w:sz w:val="18"/>
          <w:szCs w:val="18"/>
          <w:u w:val="single" w:color="auto"/>
          <w:color w:val="auto"/>
        </w:rPr>
        <w:t>Section 2.2(a)(i) </w:t>
      </w:r>
      <w:r>
        <w:rPr>
          <w:rFonts w:ascii="Times New Roman" w:cs="Times New Roman" w:eastAsia="Times New Roman" w:hAnsi="Times New Roman"/>
          <w:sz w:val="18"/>
          <w:szCs w:val="18"/>
          <w:color w:val="auto"/>
        </w:rPr>
        <w:t xml:space="preserve">above. In the event any Holder requests inclusion in a Registration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 connection with a distribution of Registrable Securities to its partners or members, the Registration shall provide for the resale by such partners or members, if requested by such Holder.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Underwriting</w:t>
      </w:r>
      <w:r>
        <w:rPr>
          <w:rFonts w:ascii="Times New Roman" w:cs="Times New Roman" w:eastAsia="Times New Roman" w:hAnsi="Times New Roman"/>
          <w:sz w:val="18"/>
          <w:szCs w:val="18"/>
          <w:color w:val="auto"/>
        </w:rPr>
        <w:t xml:space="preserve">. If the Registration of which InsuranceCo gives notice is for a Registered public offering involving an underwriting, InsuranceCo shall so advise each of the Holders as a part of the written notice given pursuant to </w:t>
      </w:r>
      <w:r>
        <w:rPr>
          <w:rFonts w:ascii="Times New Roman" w:cs="Times New Roman" w:eastAsia="Times New Roman" w:hAnsi="Times New Roman"/>
          <w:sz w:val="18"/>
          <w:szCs w:val="18"/>
          <w:u w:val="single" w:color="auto"/>
          <w:color w:val="auto"/>
        </w:rPr>
        <w:t>Section 2.2(a)(i) </w:t>
      </w:r>
      <w:r>
        <w:rPr>
          <w:rFonts w:ascii="Times New Roman" w:cs="Times New Roman" w:eastAsia="Times New Roman" w:hAnsi="Times New Roman"/>
          <w:sz w:val="18"/>
          <w:szCs w:val="18"/>
          <w:color w:val="auto"/>
        </w:rPr>
        <w:t xml:space="preserve">above. In such event, the right of each of the Holders to Registration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conditioned upon such Holders’ participation in such underwriting and the inclusion of such Holders’ Registrable Securities in the underwriting to the extent provided herein. The Holders whose Registrable Securities are to be included in such Registration shall (together with InsuranceCo and the Other Unitholders distributing their securities through such underwriting) enter into an underwriting agreement in customary form for secondary public offerings with the managing underwriter or underwriters selected for underwriting by InsuranceCo (and if the Registration was initiated by a Holder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such underwriters must be selected by the Initiating Holder(s) and reasonably acceptable to InsuranceCo);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underwriting agreement shall not provide for indemnification or contribution obligations on the part of any Holder or Other Unitholder greater than the obligations of the Holders under </w:t>
      </w:r>
      <w:r>
        <w:rPr>
          <w:rFonts w:ascii="Times New Roman" w:cs="Times New Roman" w:eastAsia="Times New Roman" w:hAnsi="Times New Roman"/>
          <w:sz w:val="18"/>
          <w:szCs w:val="18"/>
          <w:u w:val="single" w:color="auto"/>
          <w:color w:val="auto"/>
        </w:rPr>
        <w:t>Section 2.7(b)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if any Registration in respect of which any Holder is exercising its rights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involves an underwritten public offering (other than a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which case the provisions with respect to priority of inclusion in such Registration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apply) and the managing underwriter or underwriters advise InsuranceCo that in their view marketing factors require a limitation on the number of securities to be underwritten, then there shall be included in such underwritten offering the number or dollar amount of securities of InsuranceCo that in the opinion of the managing underwriter or underwriters can be sold without adversely affecting such offering, and such number of securities of InsuranceCo shall be allocated for inclusion as follows: (i) first, all securities of InsuranceCo being sold by InsuranceCo for its own account or by any Person (other than a Holder) exercising a contractual right to demand registration; (ii) second, all Registrable Securities requested to be included by the Holders and securities of InsuranceCo being sold by any Person (other than a Holder) with similar piggyback registration rights, pro rata, based on the number of shares requested to be included in such registration by such Holders and such Persons; and (iii) third, among any other holders of securities of InsuranceCo requesting such registration, pro rata, based on the number of securities requested to be included in such registration by each such holder. For the avoidance of doubt, in the event any Initiating Holder exercises demand registration rights, such registration is an underwritten public offering and the managing underwriter advises that marketing factors require a limitation on the number of securities to be so underwritten, Registrable Securities of any Holders exercising piggyback rights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 connection with such offering and any securities to be included in such offering by the Initiating Holder(s) shall be included in such offering in the same priority and allocated on a pro rata basis, as set forth in clause (ii) above. If any of the Holders or any officer, director or Other Unitholder disapproves of the terms of any such underwriting, he, she or it may elect to withdraw therefrom by providing written notice to InsuranceCo, the underwriter and the Initiating Holder(s). Any Registrable Securities or other securities excluded or withdrawn from such underwriting shall be withdrawn from such Registration.  </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2.3            </w:t>
      </w:r>
      <w:r>
        <w:rPr>
          <w:rFonts w:ascii="Times New Roman" w:cs="Times New Roman" w:eastAsia="Times New Roman" w:hAnsi="Times New Roman"/>
          <w:sz w:val="18"/>
          <w:szCs w:val="18"/>
          <w:u w:val="single" w:color="auto"/>
          <w:color w:val="000000"/>
        </w:rPr>
        <w:t>Required Shelf Registration Statement</w:t>
      </w:r>
      <w:r>
        <w:rPr>
          <w:rFonts w:ascii="Times New Roman" w:cs="Times New Roman" w:eastAsia="Times New Roman" w:hAnsi="Times New Roman"/>
          <w:sz w:val="18"/>
          <w:szCs w:val="18"/>
          <w:color w:val="000000"/>
        </w:rPr>
        <w:t>. If InsuranceCo shall become eligible to use Form S-3 (or any successor form), if requested by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InsuranceCo shall use reasonable best efforts to promptly, but within no later than ninety (90) days, file a Shelf Registration Statement on Form S-3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successor form) registering all Registrable Securities then held by the Holders (the “</w:t>
      </w:r>
      <w:r>
        <w:rPr>
          <w:rFonts w:ascii="Times New Roman" w:cs="Times New Roman" w:eastAsia="Times New Roman" w:hAnsi="Times New Roman"/>
          <w:sz w:val="18"/>
          <w:szCs w:val="18"/>
          <w:u w:val="single" w:color="auto"/>
          <w:color w:val="auto"/>
        </w:rPr>
        <w:t>Required Shelf Registration Statement</w:t>
      </w:r>
      <w:r>
        <w:rPr>
          <w:rFonts w:ascii="Times New Roman" w:cs="Times New Roman" w:eastAsia="Times New Roman" w:hAnsi="Times New Roman"/>
          <w:sz w:val="18"/>
          <w:szCs w:val="18"/>
          <w:color w:val="auto"/>
        </w:rPr>
        <w:t>”), and shall 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best efforts to cause such Required Shelf Registration Statement to be continuously effective so long as there are any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outstanding. In connection with the Required Shelf Registration Statement, InsuranceCo will, subject to the terms and limitations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promptly as reasonably practicable upon notice from any Holder requesting Registration in accordance with the terms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cooperate in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shelf take-down by amending or supplementing the Prospectus related to such Registration as may be reasonably requested by such Holder or as otherwise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reflect the number of Registrable Securities to be sold thereunder.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2.4            </w:t>
      </w:r>
      <w:r>
        <w:rPr>
          <w:rFonts w:ascii="Times New Roman" w:cs="Times New Roman" w:eastAsia="Times New Roman" w:hAnsi="Times New Roman"/>
          <w:sz w:val="17"/>
          <w:szCs w:val="17"/>
          <w:u w:val="single" w:color="auto"/>
          <w:color w:val="000000"/>
        </w:rPr>
        <w:t>Expenses of Registration</w:t>
      </w:r>
      <w:r>
        <w:rPr>
          <w:rFonts w:ascii="Times New Roman" w:cs="Times New Roman" w:eastAsia="Times New Roman" w:hAnsi="Times New Roman"/>
          <w:sz w:val="17"/>
          <w:szCs w:val="17"/>
          <w:color w:val="000000"/>
        </w:rPr>
        <w:t>. All Registration Expenses incurred in connection with any Registration, qualification or compliance pursuant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by InsuranceCo, and all Selling Expenses shall be borne by the Holders of the securities so registered pro rata on the basis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their shares so registered (or, in the case of fees and disbursements of counsel and advisors to any Holders that do not constitute Registration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by the Holders as incurred).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 w:firstLine="645"/>
        <w:spacing w:after="0" w:line="253" w:lineRule="auto"/>
        <w:rPr>
          <w:sz w:val="20"/>
          <w:szCs w:val="20"/>
          <w:color w:val="auto"/>
        </w:rPr>
      </w:pPr>
      <w:r>
        <w:rPr>
          <w:rFonts w:ascii="Times New Roman" w:cs="Times New Roman" w:eastAsia="Times New Roman" w:hAnsi="Times New Roman"/>
          <w:sz w:val="18"/>
          <w:szCs w:val="18"/>
          <w:color w:val="010000"/>
        </w:rPr>
        <w:t>2.5            </w:t>
      </w:r>
      <w:r>
        <w:rPr>
          <w:rFonts w:ascii="Times New Roman" w:cs="Times New Roman" w:eastAsia="Times New Roman" w:hAnsi="Times New Roman"/>
          <w:sz w:val="18"/>
          <w:szCs w:val="18"/>
          <w:u w:val="single" w:color="auto"/>
          <w:color w:val="000000"/>
        </w:rPr>
        <w:t>Black-Out Periods</w:t>
      </w:r>
      <w:r>
        <w:rPr>
          <w:rFonts w:ascii="Times New Roman" w:cs="Times New Roman" w:eastAsia="Times New Roman" w:hAnsi="Times New Roman"/>
          <w:sz w:val="18"/>
          <w:szCs w:val="18"/>
          <w:color w:val="000000"/>
        </w:rPr>
        <w:t>. Unless InsuranceCo otherwise permits in writing, for so long as a Participating Holder has an officer, director, partner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senior employee serving as a member of the Board of Directors of InsuranceCo, such Participating Holder shall not make any offers or sales of Registrable Securities under a Registration Statement during any Scheduled Black-Out Period.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2.6            </w:t>
      </w:r>
      <w:r>
        <w:rPr>
          <w:rFonts w:ascii="Times New Roman" w:cs="Times New Roman" w:eastAsia="Times New Roman" w:hAnsi="Times New Roman"/>
          <w:sz w:val="18"/>
          <w:szCs w:val="18"/>
          <w:u w:val="single" w:color="auto"/>
          <w:color w:val="000000"/>
        </w:rPr>
        <w:t>Registration Procedures</w:t>
      </w:r>
      <w:r>
        <w:rPr>
          <w:rFonts w:ascii="Times New Roman" w:cs="Times New Roman" w:eastAsia="Times New Roman" w:hAnsi="Times New Roman"/>
          <w:sz w:val="18"/>
          <w:szCs w:val="18"/>
          <w:color w:val="000000"/>
        </w:rPr>
        <w:t>. In the case of each Registration effected by InsuranceCo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w:t>
      </w:r>
      <w:r>
        <w:rPr>
          <w:rFonts w:ascii="Times New Roman" w:cs="Times New Roman" w:eastAsia="Times New Roman" w:hAnsi="Times New Roman"/>
          <w:sz w:val="18"/>
          <w:szCs w:val="18"/>
          <w:color w:val="000000"/>
        </w:rPr>
        <w:t>, InsuranceCo will keep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Holders advised in writing as to the initiation of each Registration and as to the completion thereof. At its expense, InsuranceCo will: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60" w:firstLine="645"/>
        <w:spacing w:after="0" w:line="251" w:lineRule="auto"/>
        <w:rPr>
          <w:sz w:val="20"/>
          <w:szCs w:val="20"/>
          <w:color w:val="auto"/>
        </w:rPr>
      </w:pPr>
      <w:r>
        <w:rPr>
          <w:rFonts w:ascii="Times New Roman" w:cs="Times New Roman" w:eastAsia="Times New Roman" w:hAnsi="Times New Roman"/>
          <w:sz w:val="18"/>
          <w:szCs w:val="18"/>
          <w:color w:val="auto"/>
        </w:rPr>
        <w:t>(a)            as promptly as practicable, prepare and file with the SEC such pre- and post-effective amendments to such Registration Statement, supplements to the Prospectus and such amendments or supplements to any Issuer Free Writing Prospectus as may be (i) reasonably requested by the Initiating Holder(s) (if any), (ii) reasonably requested by any other Participating Holder (to the extent such request relates to information relating to such Participating Holder), or (iii)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5"/>
        <w:spacing w:after="0" w:line="250" w:lineRule="auto"/>
        <w:rPr>
          <w:sz w:val="20"/>
          <w:szCs w:val="20"/>
          <w:color w:val="auto"/>
        </w:rPr>
      </w:pPr>
      <w:r>
        <w:rPr>
          <w:rFonts w:ascii="Times New Roman" w:cs="Times New Roman" w:eastAsia="Times New Roman" w:hAnsi="Times New Roman"/>
          <w:sz w:val="18"/>
          <w:szCs w:val="18"/>
          <w:color w:val="auto"/>
        </w:rPr>
        <w:t>(b)            notify the Participating Holders and the managing underwriter or underwriters, if any, and (if requested) confirm such advice in writing and provide copies of the relevant documents, as promptly as reasonably practicable after notice thereof is received by InsuranceCo (i) when the applicable Registration Statement or any amendment thereto has been filed or becomes effective, and when the applicable Prospectus or Issuer Free Writing Prospectus or any amendment or supplement thereto has been filed, (ii) to the extent any of the following relates to the Participating Holders or information supplied by the Participating Holders, of any written comments by the SEC or any request by the SEC or any other federal or state governmental authority for amendments or supplements to such Registration Statement, Prospectus or Issuer Free Writing Prospectus or for additional information, (iii) of the issuance by the SEC of any stop order suspending the effectiveness of such Registration Statement or any order by the SEC or any other regulatory authority preventing or suspending the use of any Prospectus or any Issuer Free Writing Prospectus or the initiation or threatening of any proceedings for such purposes, (iv) if, at any time, the representations and warranties of InsuranceCo in any applicable underwriting agreement cease to be true and correct in all material respects, and (v) of the receipt by InsuranceCo or either of their respective legal counsels of any notification with respect to the suspension of the qualification of the Registrable Securities for offering or sale in any jurisdiction or the initiation or threatening of any proceeding for such purpose;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promptly notify the Participating Holders and the managing underwriter or underwriters, if any, when InsuranceCo becomes aware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happening of any event as a result of which the applicable Registration Statement, the Prospectus included in such Registration Statement (as then in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Issuer Free Writing Prospectus contains any untrue statement of a material fact or omits to state a material fact required to be stated therein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in order to make the statements therein (in the case of such Prospectus or any Issuer Free Writing Prospectus, in light of the circumstances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they were made) not misleading, and when any Issuer Free Writing Prospectus includes information that may conflict with the information contained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Registration Statement, or, if for any other reason it shall be necessary during such time period to amend or supplement such Registration Statement,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or Issuer Free Writing Prospectus in order to comply with the Securities Act and, in either case as promptly as reasonably practicable thereafter,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prepare and file with the SEC, and furnish without charge to the Participating Holders and the managing underwriter or underwriters, if any, an amendment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supplement to such Registration Statement, Prospectus or Issuer Free Writing Prospectus which shall correct such misstatement or omission or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compliance;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use its reasonable best efforts to prevent, or obtain the withdrawal of, any stop order or other order suspending the use of any Prospectus 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Issuer Free Writing Prospectus;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deliver to each Participating Holder and each underwriter, if any, without charge, as many copies of the applicable Prospectus (including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preliminary Prospectus), any Issuer Free Writing Prospectus and any amendment or supplement thereto as such Participating Holder or underwriter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reasonably request (it being understood that InsuranceCo consents to the use of such Prospectus, any Issuer Free Writing Prospectus and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or supplement thereto by such Holder and the underwriters, if any, in connection with the offering and sale of the Registrable Securities thereby)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such other documents as such Participating Holder or underwriter may reasonably request in order to facilitate the disposition of the Registrable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by such Participating Holder or underwriter;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645"/>
        <w:spacing w:after="0" w:line="275" w:lineRule="auto"/>
        <w:rPr>
          <w:sz w:val="20"/>
          <w:szCs w:val="20"/>
          <w:color w:val="auto"/>
        </w:rPr>
      </w:pPr>
      <w:r>
        <w:rPr>
          <w:rFonts w:ascii="Times New Roman" w:cs="Times New Roman" w:eastAsia="Times New Roman" w:hAnsi="Times New Roman"/>
          <w:sz w:val="17"/>
          <w:szCs w:val="17"/>
          <w:color w:val="auto"/>
        </w:rPr>
        <w:t xml:space="preserve">(f)            subject to the terms set forth in </w:t>
      </w:r>
      <w:r>
        <w:rPr>
          <w:rFonts w:ascii="Times New Roman" w:cs="Times New Roman" w:eastAsia="Times New Roman" w:hAnsi="Times New Roman"/>
          <w:sz w:val="17"/>
          <w:szCs w:val="17"/>
          <w:u w:val="single" w:color="auto"/>
          <w:color w:val="auto"/>
        </w:rPr>
        <w:t>Section 2.1(b)(i)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hereof, on or prior to the date on which the applicable Registration Statement is declared effective, use its reasonable best efforts to register or qualify the Registrable Securities covered by such Registration Statement under such other securities or “blue sky” laws of such jurisdictions in the United States as any Participating Holder reasonably (in light of such Participating Holder’s</w:t>
      </w:r>
    </w:p>
    <w:p>
      <w:pPr>
        <w:sectPr>
          <w:pgSz w:w="11900" w:h="16838" w:orient="portrait"/>
          <w:cols w:equalWidth="0" w:num="1">
            <w:col w:w="11240"/>
          </w:cols>
          <w:pgMar w:left="320" w:top="121" w:right="339" w:bottom="0" w:gutter="0" w:footer="0" w:header="0"/>
        </w:sectPr>
      </w:pPr>
    </w:p>
    <w:bookmarkStart w:id="149" w:name="page150"/>
    <w:bookmarkEnd w:id="149"/>
    <w:p>
      <w:pPr>
        <w:ind w:right="40"/>
        <w:spacing w:after="0" w:line="258" w:lineRule="auto"/>
        <w:rPr>
          <w:sz w:val="20"/>
          <w:szCs w:val="20"/>
          <w:color w:val="auto"/>
        </w:rPr>
      </w:pPr>
      <w:r>
        <w:rPr>
          <w:rFonts w:ascii="Times New Roman" w:cs="Times New Roman" w:eastAsia="Times New Roman" w:hAnsi="Times New Roman"/>
          <w:sz w:val="18"/>
          <w:szCs w:val="18"/>
          <w:color w:val="auto"/>
        </w:rPr>
        <w:t>intended plan of distribution) requests and do any and all other acts and things that may be reasonably necessary or advisable to enable such Participating Holder to consummate the disposition of the Registrable Securities owned by such Participating Holder pursuant to such Registration Statement, except that InsuranceCo shall not for any such purpose be required to qualify generally to do business as a foreign corporation in any jurisdiction where it is not so qualified, subject itself to taxation in any such jurisdiction or consent to general service of process in any such jurisdiction;  </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make such representations and warranties to the Participating Holders and the underwriters or agents, if any, in form, substance and scope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customarily made by issuers in underwritten public offerings;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enter into such customary agreements (including underwriting and indemnification agreements) and take such other actions as the Initiating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or the managing underwriter, if any, reasonably requests in order to expedite or facilitate the Registration and disposition of such Registrable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0" w:firstLine="645"/>
        <w:spacing w:after="0" w:line="253" w:lineRule="auto"/>
        <w:rPr>
          <w:sz w:val="20"/>
          <w:szCs w:val="20"/>
          <w:color w:val="auto"/>
        </w:rPr>
      </w:pPr>
      <w:r>
        <w:rPr>
          <w:rFonts w:ascii="Times New Roman" w:cs="Times New Roman" w:eastAsia="Times New Roman" w:hAnsi="Times New Roman"/>
          <w:sz w:val="18"/>
          <w:szCs w:val="18"/>
          <w:color w:val="auto"/>
        </w:rPr>
        <w:t>(i)            use its reasonable best efforts to obtain for delivery to the managing underwriter, if any, an opinion or opinions from counsel for InsuranceCo dated the effective date of the Registration Statement or, in the event of an underwritten offering, the date of the closing under the underwriting agreement, in form and substance as is customarily given to underwriters in an underwritten secondary public offering;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in the case of an underwritten offering, use reasonable best efforts to obtain for delivery to InsuranceCo and the managing underwriter, if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“comfort” letter from InsuranceCo’s independent certified public accountants in form and substance as is customarily given by independent certified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accountants in an underwritten secondary public offering;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cooperate with each Participating Holder and the underwriters, if any, of such Registrable Securities and their respective counsel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any filings required to be made with FINRA;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20" w:firstLine="645"/>
        <w:spacing w:after="0" w:line="252" w:lineRule="auto"/>
        <w:rPr>
          <w:sz w:val="20"/>
          <w:szCs w:val="20"/>
          <w:color w:val="auto"/>
        </w:rPr>
      </w:pPr>
      <w:r>
        <w:rPr>
          <w:rFonts w:ascii="Times New Roman" w:cs="Times New Roman" w:eastAsia="Times New Roman" w:hAnsi="Times New Roman"/>
          <w:sz w:val="18"/>
          <w:szCs w:val="18"/>
          <w:color w:val="auto"/>
        </w:rPr>
        <w:t>(l)            use its reasonable best efforts to cause all Registrable Securities covered by the applicable Registration Statement to be listed or quoted on a national securities exchange or trading system and each securities exchange and trading system (if any) on which similar securities issued by InsuranceCo are then listed; provided that InsuranceCo will not be deemed to be in breach of this clause (l) to the extent that InsuranceCo’s failure to achieve the minimum listing standards of the requested Exchange is caused by any action or inaction of any Participating Holder;  </w:t>
      </w:r>
    </w:p>
    <w:p>
      <w:pPr>
        <w:spacing w:after="0" w:line="206" w:lineRule="exact"/>
        <w:rPr>
          <w:sz w:val="20"/>
          <w:szCs w:val="20"/>
          <w:color w:val="auto"/>
        </w:rPr>
      </w:pPr>
    </w:p>
    <w:p>
      <w:pPr>
        <w:ind w:right="260" w:firstLine="645"/>
        <w:spacing w:after="0" w:line="258" w:lineRule="auto"/>
        <w:rPr>
          <w:sz w:val="20"/>
          <w:szCs w:val="20"/>
          <w:color w:val="auto"/>
        </w:rPr>
      </w:pPr>
      <w:r>
        <w:rPr>
          <w:rFonts w:ascii="Times New Roman" w:cs="Times New Roman" w:eastAsia="Times New Roman" w:hAnsi="Times New Roman"/>
          <w:sz w:val="18"/>
          <w:szCs w:val="18"/>
          <w:color w:val="auto"/>
        </w:rPr>
        <w:t>(m)            cooperate with the Participating Holders and the underwriters, if any, to facilitate the timely preparation and delivery of certificates, with requisite CUSIP numbers, representing Registrable Securities to be sold and not bearing any restrictive legends;  </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340" w:firstLine="645"/>
        <w:spacing w:after="0" w:line="253" w:lineRule="auto"/>
        <w:rPr>
          <w:sz w:val="20"/>
          <w:szCs w:val="20"/>
          <w:color w:val="auto"/>
        </w:rPr>
      </w:pPr>
      <w:r>
        <w:rPr>
          <w:rFonts w:ascii="Times New Roman" w:cs="Times New Roman" w:eastAsia="Times New Roman" w:hAnsi="Times New Roman"/>
          <w:sz w:val="18"/>
          <w:szCs w:val="18"/>
          <w:color w:val="auto"/>
        </w:rPr>
        <w:t>(n)            in the case of an underwritten offering, make reasonably available the senior executive officers of InsuranceCo to participate in the customary “road show” presentations that may be reasonably requested by the managing underwriter in any such underwritten offering and otherwise to facilitate, cooperate with, and participate in each proposed offering contemplated herein and customary selling efforts related thereto;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use its reasonable best efforts to procure the cooperation of InsuranceCo’s transfer agent in settling any offering or sale of Registrable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including with respect to the transfer of physical security instruments into book-entry form in accordance with any procedures reasonably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by the Holders or any managing underwriter(s);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            use its reasonable best efforts to take such actions as are under its control to become or remain a well-known seasoned issuer (as such term 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Rule 405 under the Securities Act) and not become an ineligible issuer (as such term is defined in Rule 405 under the Securities Act) during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when such Registration Statement remains in effect;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80" w:firstLine="645"/>
        <w:spacing w:after="0" w:line="250" w:lineRule="auto"/>
        <w:rPr>
          <w:sz w:val="20"/>
          <w:szCs w:val="20"/>
          <w:color w:val="auto"/>
        </w:rPr>
      </w:pPr>
      <w:r>
        <w:rPr>
          <w:rFonts w:ascii="Times New Roman" w:cs="Times New Roman" w:eastAsia="Times New Roman" w:hAnsi="Times New Roman"/>
          <w:sz w:val="18"/>
          <w:szCs w:val="18"/>
          <w:color w:val="auto"/>
        </w:rPr>
        <w:t>(q)            make available for inspection by a representative of Participating Holders that are selling at least five percent (5%) of the Registrable Securities included in such Registration (and who is named in the applicable prospectus supplement as a Person who may be deemed to be an underwriter with respect to an offering and sale of Registrable Securities), the managing underwriter(s), if any, and any attorneys or accountants retained by such Holders or the managing underwriters(s), at the offices where normally kept, during reasonable business hours, financial and other records and pertinent corporate documents of InsuranceCo, and cause the officers, directors and employees of InsuranceCo to supply all information in each case reasonably requested by any such representative, managing underwriter, attorney or accountant in connection with such Registration Statement; provided, that if any such information is identified by InsuranceCo as being confidential or proprietary, each Person receiving such information shall take such actions as are reasonably necessary to protect the confidentiality of such information and shall sign customary confidentiality agreements reasonably requested by InsuranceCo prior to the receipt of such information. Notwithstanding the foregoing, InsuranceCo shall not be required to provide access to any information if doing so would reasonably be expected to waive privilege, violate applicable law or contractual confidentiality obligations, result in disclosure of competitively sensitive information, or adversely affect InsuranceCo or the Company, provided that InsuranceCo shall use reasonable best efforts to make appropriate substitute arrangements in a manner that avoids or reasonably mitigates any such waiver, violation or disclosure or adverse effect.  </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2.7            </w:t>
      </w:r>
      <w:r>
        <w:rPr>
          <w:rFonts w:ascii="Times New Roman" w:cs="Times New Roman" w:eastAsia="Times New Roman" w:hAnsi="Times New Roman"/>
          <w:sz w:val="18"/>
          <w:szCs w:val="18"/>
          <w:u w:val="single" w:color="auto"/>
          <w:color w:val="000000"/>
        </w:rPr>
        <w:t>Indemnification</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60" w:firstLine="645"/>
        <w:spacing w:after="0" w:line="267"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Indemnification by InsuranceCo</w:t>
      </w:r>
      <w:r>
        <w:rPr>
          <w:rFonts w:ascii="Times New Roman" w:cs="Times New Roman" w:eastAsia="Times New Roman" w:hAnsi="Times New Roman"/>
          <w:sz w:val="17"/>
          <w:szCs w:val="17"/>
          <w:color w:val="auto"/>
        </w:rPr>
        <w:t xml:space="preserve">. With respect to each Registration which has been effected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each of InsuranceCo and the Company agree to indemnify and hold harmless, to the fullest extent permitted by law, (i) each of the Participating Holders and each of its officers, directors, limited or general partners and members thereof, (ii) each member, limited or general partner of each such member, limited or general partner, (iii) each of their respective Affiliates, officers, directors, shareholders, employees, advisors, and agents and each Person who controls (within the meaning of the Securities Act or the Exchange Act) such Persons and each underwriter, if any, and each person who controls (within the meaning of the Securities Act or the Exchange Act) any underwriter, against any and all claims, losses, damages, penalties, judgments, suits, costs, liabilities and out-of-pocket expenses (or actions in respect thereof) (collectively, the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arising out of or based on (A) any untrue statement (or alleged untrue statement) of a</w:t>
      </w:r>
    </w:p>
    <w:p>
      <w:pPr>
        <w:sectPr>
          <w:pgSz w:w="11900" w:h="16838" w:orient="portrait"/>
          <w:cols w:equalWidth="0" w:num="1">
            <w:col w:w="11240"/>
          </w:cols>
          <w:pgMar w:left="320" w:top="121" w:right="339" w:bottom="0" w:gutter="0" w:footer="0" w:header="0"/>
        </w:sectPr>
      </w:pPr>
    </w:p>
    <w:bookmarkStart w:id="150" w:name="page151"/>
    <w:bookmarkEnd w:id="150"/>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material fact contained in any Registration Statement (including any Prospectus or Issuer Free Writing Prospectus) or any other document incident to any such Registration, qualification or compliance, (B) any omission (or alleged omission) to state therein a material fact required to be stated therein or necessary to make the statements therein not misleading (in the case of any Prospectus or Issuer Free Writing Prospectus, in light of the circumstances under which they were made not misleading), or (C) any violation by InsuranceCo or the Company, as applicable, of the Securities Act or the Exchange Act applicable to InsuranceCo and relating to action or inaction required of InsuranceCo in connection with any such Registration, qualification or compliance, and will reimburse each of the Persons listed above for any reasonable and documented legal and any other out-of-pocket expenses reasonably incurred in connection with investigating and defending any such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InsuranceCo nor the Company, as applicable, will be liable in any such case to the extent that any such Losses arise out of or are based on any untrue statement or omission based upon written information furnished to InsuranceCo or the Company, as applicable, by the Participating Holders or underwriter and stated to be specifically for use therein.  </w:t>
      </w:r>
    </w:p>
    <w:p>
      <w:pPr>
        <w:spacing w:after="0" w:line="212" w:lineRule="exact"/>
        <w:rPr>
          <w:sz w:val="20"/>
          <w:szCs w:val="20"/>
          <w:color w:val="auto"/>
        </w:rPr>
      </w:pPr>
    </w:p>
    <w:p>
      <w:pPr>
        <w:ind w:right="160" w:firstLine="645"/>
        <w:spacing w:after="0" w:line="24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the Participating Holders</w:t>
      </w:r>
      <w:r>
        <w:rPr>
          <w:rFonts w:ascii="Times New Roman" w:cs="Times New Roman" w:eastAsia="Times New Roman" w:hAnsi="Times New Roman"/>
          <w:sz w:val="18"/>
          <w:szCs w:val="18"/>
          <w:color w:val="auto"/>
        </w:rPr>
        <w:t xml:space="preserve">. Each of the Participating Holders agrees (severally and not jointly) to indemnify and hold harmless, to the fullest extent permitted by law, InsuranceCo and each of its directors and officers and each underwriter, if any, of InsuranceCo’s securities covered by such a Registration Statement, each Person who controls InsuranceCo (within the meaning of the Securities Act or the Exchange Act) or such underwriter, each other Participating Holder and each of their respective officers, directors, partners and members, and each Person controlling such Participating Holder (within the meaning of the Securities Act or the Exchange Act) against any and all Losses arising out of or based on (A) any untrue statement (or alleged untrue statement) of a material fact contained in any Registration Statement (including any Prospectus or Issuer Free Writing Prospectus) or any other document incident to any such Registration, qualification or compliance (including any notification or the like) made by such Participating Holder in writing or (B) any omission (or alleged omission) to state therein a material fact required to be stated therein or necessary to make the statements by such Participating Holder therein not misleading (in the case of any Prospectus or Issuer Free Writing Prospectus, in light of the circumstances under which they were made not misleading) and will reimburse the Persons listed above for any reasonable and documented legal or any other out-of-pocket expenses reasonably incurred in connection with investigating or defending any such Losses, in each case to the extent, but only to the extent, that such untrue statement (or alleged untrue statement) or omission (or alleged omission) is made in reliance upon and in conformity with written information furnished to InsuranceCo by such Participating Holder and stated to be specifically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obligations of each of the Participating Holders hereunder shall be limited to an amount equal to the net proceeds (after giving effect to any underwriters, discounts and commissions) such Participating Holder receives in such Registration.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Conduct of the Indemnification Proceedings</w:t>
      </w:r>
      <w:r>
        <w:rPr>
          <w:rFonts w:ascii="Times New Roman" w:cs="Times New Roman" w:eastAsia="Times New Roman" w:hAnsi="Times New Roman"/>
          <w:sz w:val="17"/>
          <w:szCs w:val="17"/>
          <w:color w:val="auto"/>
        </w:rPr>
        <w:t xml:space="preserve">. Each party entitled to indemnification under this </w:t>
      </w:r>
      <w:r>
        <w:rPr>
          <w:rFonts w:ascii="Times New Roman" w:cs="Times New Roman" w:eastAsia="Times New Roman" w:hAnsi="Times New Roman"/>
          <w:sz w:val="17"/>
          <w:szCs w:val="17"/>
          <w:u w:val="single" w:color="auto"/>
          <w:color w:val="auto"/>
        </w:rPr>
        <w:t>Section 2.7(c)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shall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notice to the party required to provide indemnification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promptly after such Indemnified Party has actual knowledge of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as to which indemnity may be sought, and shall permit the Indemnifying Party to assume the defense of any such claim or any litigation resulting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counsel for the Indemnifying Party, who shall conduct the defense of such claim or any litigation resulting therefrom, shall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Indemnified Party (whose approval shall not unreasonably be withheld) and the Indemnified Party may participate in such defense at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party’s expense (unless the Indemnified Party shall have reasonably concluded that there may be a conflict of interest between the Indemnifying Party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Indemnified Party in such action, in which case the fees and expenses of counsel shall be at the expense of the Indemnifying Party),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of any Indemnified Party to give notice as provided herein shall not relieve the Indemnifying Party of its obligations under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unless the Indemnifying Party is prejudiced thereby. It is understood and agreed that the Indemnifying Party shall not, in connection with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or related proceeding in the same jurisdiction, be liable for the fees and expenses of more than one separate legal counsel for all Indemnified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where the failure to be provided separate legal counsel could potentially result in a conflict of interest on the part of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counsel for all Indemnified Parties, separate counsel shall be appointed for Indemnified Parties to the extent needed to alleviate such potential conflict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interest. No Indemnifying Party, in the defense of any such claim or litigation shall, except with the prior written consent of each Indemnified Party,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to entry of any judgment or enter into any settlement which does not include as an unconditional term thereof the giving by the claimant or plaintiff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Indemnified Party of a release from all liability in respect to such claim or litigation. Each Indemnified Party shall furnish such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itself or the claim in question as an Indemnifying Party may reasonably request in writing and as shall be reasonably required in connection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defense of such claim and litigation resulting therefrom.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 xml:space="preserve">(d)            If the indemnification provided for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is held by a court of competent jurisdiction to be unavailable to an Indemnified Party with respect to any Losses, then the Indemnifying Party, in lieu of indemnifying such Indemnified Party hereunder, shall contribute to the amount paid or payable by such Indemnified Party as a result of such Losses in such proportion as is appropriate to reflect the relative fault of the Indemnifying Party on the one hand and of the Indemnified Party on the other in connection with the statements or omissions (or alleged statements or omissions) which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obligations of each of the Participating Holders hereunder shall be several and not joint and shall be limited to an amount equal to the net proceeds (after giving effect to any underwriters, discounts and commissions) such Participating Holder receives in such Registration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Person guilty of fraudulent misrepresentation (within the meaning of Section 11.6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each Person, if any, who controls an underwriter or agent within the meaning of Section 15 of the Securities Act shall have the same rights to contribution as such underwriter or agent and each director of InsuranceCo, each officer of InsuranceCo who signed a Registration Statement, and each Person, if any, who controls InsuranceCo or a selling Holder within the meaning of Section 15 of the Securities Act shall have the same rights to contribution as InsuranceCo or such selling Holder, as the case may be.  </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(e)            Subject to the limitations on the Holders’ liability set forth in </w:t>
      </w:r>
      <w:r>
        <w:rPr>
          <w:rFonts w:ascii="Times New Roman" w:cs="Times New Roman" w:eastAsia="Times New Roman" w:hAnsi="Times New Roman"/>
          <w:sz w:val="17"/>
          <w:szCs w:val="17"/>
          <w:u w:val="single" w:color="auto"/>
          <w:color w:val="auto"/>
        </w:rPr>
        <w:t>Section 2.7(b)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Section 2.7(d)</w:t>
      </w:r>
      <w:r>
        <w:rPr>
          <w:rFonts w:ascii="Times New Roman" w:cs="Times New Roman" w:eastAsia="Times New Roman" w:hAnsi="Times New Roman"/>
          <w:sz w:val="17"/>
          <w:szCs w:val="17"/>
          <w:color w:val="auto"/>
        </w:rPr>
        <w:t xml:space="preserve">, the remedies provided for in this </w:t>
      </w:r>
      <w:r>
        <w:rPr>
          <w:rFonts w:ascii="Times New Roman" w:cs="Times New Roman" w:eastAsia="Times New Roman" w:hAnsi="Times New Roman"/>
          <w:sz w:val="17"/>
          <w:szCs w:val="17"/>
          <w:u w:val="single" w:color="auto"/>
          <w:color w:val="auto"/>
        </w:rPr>
        <w:t>Section 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exclusive and shall not limit any rights or remedies which may otherwise be available to any Indemnified Party at law or equity. The remedies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 in full force and effect regardless of any investigation made by or on behalf of such Holder or any Indemnified Party and survive the transfer of such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by such Holder.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121" w:right="339" w:bottom="0" w:gutter="0" w:footer="0" w:header="0"/>
        </w:sectPr>
      </w:pPr>
    </w:p>
    <w:bookmarkStart w:id="151" w:name="page152"/>
    <w:bookmarkEnd w:id="151"/>
    <w:p>
      <w:pPr>
        <w:ind w:left="660"/>
        <w:spacing w:after="0"/>
        <w:rPr>
          <w:sz w:val="20"/>
          <w:szCs w:val="20"/>
          <w:color w:val="auto"/>
        </w:rPr>
      </w:pPr>
      <w:r>
        <w:rPr>
          <w:rFonts w:ascii="Times New Roman" w:cs="Times New Roman" w:eastAsia="Times New Roman" w:hAnsi="Times New Roman"/>
          <w:sz w:val="18"/>
          <w:szCs w:val="18"/>
          <w:color w:val="auto"/>
        </w:rPr>
        <w:t>(f)            The obligations of InsuranceCo and of the Participating Holders hereunder to indemnify any underwriter or agent who participates in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(or any Person, if any controlling such underwriter or agent within the meaning of Section 15 of the Securities Act) shall be conditioned upon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or agency agreement with such underwriter or agent containing an agreement by such underwriter or agent to indemnify and hold harmless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each of its directors and officers, each other Participating Holder, and each Person who controls InsuranceCo (within the meaning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or the Exchange Act) or such Participating Holder against all Losses, but only with respect to untrue statements or omissions, or alleged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untrue statements or omissions, made in the Registration Statement (or any amendment thereto), or any preliminary prospectus or the Prospectus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supplement thereto) in reliance upon and in conformity with written information furnished to InsuranceCo by such underwriter or 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for use in such filings described in this sentence.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2.8            </w:t>
      </w:r>
      <w:r>
        <w:rPr>
          <w:rFonts w:ascii="Times New Roman" w:cs="Times New Roman" w:eastAsia="Times New Roman" w:hAnsi="Times New Roman"/>
          <w:sz w:val="18"/>
          <w:szCs w:val="18"/>
          <w:u w:val="single" w:color="auto"/>
          <w:color w:val="000000"/>
        </w:rPr>
        <w:t>Participating Holders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60" w:firstLine="645"/>
        <w:spacing w:after="0" w:line="253" w:lineRule="auto"/>
        <w:rPr>
          <w:sz w:val="20"/>
          <w:szCs w:val="20"/>
          <w:color w:val="auto"/>
        </w:rPr>
      </w:pPr>
      <w:r>
        <w:rPr>
          <w:rFonts w:ascii="Times New Roman" w:cs="Times New Roman" w:eastAsia="Times New Roman" w:hAnsi="Times New Roman"/>
          <w:sz w:val="18"/>
          <w:szCs w:val="18"/>
          <w:color w:val="auto"/>
        </w:rPr>
        <w:t xml:space="preserve">(a)            Each of the Participating Holders shall furnish to InsuranceCo such information regarding such Participating Holder and its partners and members, and the distribution proposed by such Holder, as InsuranceCo may reasonably request in writing and as shall be reasonably requested in connection with any Registration, qualification or compliance referred to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 xml:space="preserve">(b)            The obligations of InsuranceCo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any filing, effectiveness or other timing obligations, shall be tolled, and InsuranceCo shall not be deemed to be in breach of this Agreement, in each case to the extent any delay results from the failure of any Participating Holder to provide on a timely basis any information or cooperation reasonably requested by InsuranceCo, its counsel, the managing underwriter or any applicable governmental authority in connection with the applicable Registration or offering, provided that (i) InsuranceCo shall cooperate in good faith to promptly resolve the basis of any Participating Holder’s withholding or delay of such information or cooperation and (ii) in the event this Agreement is tolled with respect to any particular Registration or offering for more than a total of forty-five (45) days in the aggregate as a result of any Participating Holder(s) failure to provide such information or cooperation, a majority-in-interest of Registrable Securities held by the Participating Holders in such Registration or offering may elect to proceed without such non-cooperating Participating Holder(s), which shall each be deemed to have waived its right to participate in such Registration or offering (but not in respect of any future Registrations or offerings).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In the event that, either immediately prior to or subsequent to the effectiveness of any Registration Statement, any Participating Holder shall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 Registrable Securities to its partners or members, such Participating Holder shall so advise InsuranceCo and provide such information as shall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permit an amendment to such Registration Statement to provide information with respect to such partners or members, as selling security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As soon as is reasonably practicable following receipt of such information, InsuranceCo shall file an appropriate amendment to such Registration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reflecting the information so provided. Any incremental expense to InsuranceCo resulting from such amendment shall be borne by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Holder.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0" w:firstLine="645"/>
        <w:spacing w:after="0" w:line="250" w:lineRule="auto"/>
        <w:rPr>
          <w:sz w:val="20"/>
          <w:szCs w:val="20"/>
          <w:color w:val="auto"/>
        </w:rPr>
      </w:pPr>
      <w:r>
        <w:rPr>
          <w:rFonts w:ascii="Times New Roman" w:cs="Times New Roman" w:eastAsia="Times New Roman" w:hAnsi="Times New Roman"/>
          <w:sz w:val="18"/>
          <w:szCs w:val="18"/>
          <w:color w:val="auto"/>
        </w:rPr>
        <w:t xml:space="preserve">(d)            Each Holder agrees that at the time that such Holder is a Participating Holder, upon receipt of any notice from InsuranceCo of the happening of any event of the kind described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such Holder shall forthwith discontinue disposition of Registrable Securities pursuant to the Registration Statement covering such Registrable Securities until such Holder’s receipt of the copies of a supplemented or amended Prospectus or Issuer Free Writing Prospectus or until such Holder is advised in writing by InsuranceCo that the use of the Prospectus or Issuer Free Writing Prospectus, as the case may be, may be resumed, and, if so directed by InsuranceCo, such Holder shall deliver to InsuranceCo all copies, other than any permanent file copies then in such Holder’s possession, of the most recent Prospectus or any Issuer Free Writing Prospectus covering such Registrable Securities at the time of receipt of such notice. If InsuranceCo shall give such notice, InsuranceCo shall extend the period during which such Registration Statement shall be maintained effective by the number of days during the period from and including the date of the giving of notice pursuant to </w:t>
      </w:r>
      <w:r>
        <w:rPr>
          <w:rFonts w:ascii="Times New Roman" w:cs="Times New Roman" w:eastAsia="Times New Roman" w:hAnsi="Times New Roman"/>
          <w:sz w:val="18"/>
          <w:szCs w:val="18"/>
          <w:u w:val="single" w:color="auto"/>
          <w:color w:val="auto"/>
        </w:rPr>
        <w:t>Section 2.6(c) </w:t>
      </w:r>
      <w:r>
        <w:rPr>
          <w:rFonts w:ascii="Times New Roman" w:cs="Times New Roman" w:eastAsia="Times New Roman" w:hAnsi="Times New Roman"/>
          <w:sz w:val="18"/>
          <w:szCs w:val="18"/>
          <w:color w:val="auto"/>
        </w:rPr>
        <w:t>to the date when InsuranceCo shall make available to such Holder a copy of the supplement or amended Prospectus or Issuer Free Writing Prospectus or is advised in writing that the use of the Prospectus or Issuer Free Writing Prospectus may be resumed.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2.9            </w:t>
      </w:r>
      <w:r>
        <w:rPr>
          <w:rFonts w:ascii="Times New Roman" w:cs="Times New Roman" w:eastAsia="Times New Roman" w:hAnsi="Times New Roman"/>
          <w:sz w:val="18"/>
          <w:szCs w:val="18"/>
          <w:u w:val="single" w:color="auto"/>
          <w:color w:val="000000"/>
        </w:rPr>
        <w:t>Rule 144</w:t>
      </w:r>
      <w:r>
        <w:rPr>
          <w:rFonts w:ascii="Times New Roman" w:cs="Times New Roman" w:eastAsia="Times New Roman" w:hAnsi="Times New Roman"/>
          <w:sz w:val="18"/>
          <w:szCs w:val="18"/>
          <w:color w:val="000000"/>
        </w:rPr>
        <w:t>. With a view to making available the benefits of certain rules and regulations of the SEC which may permit the sale of restricted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the public without Registration, InsuranceCo agrees to use its reasonable best efforts to file with the SEC in a timely manner all reports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documents required of InsuranceCo under the Securities Act and the Exchange Act at any time after it has become subject to such reporting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(or, if InsuranceCo is not required to file such reports, it will, upon the reasonable request of the Holders holding a majority of the then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Registrable Securities, make publicly available such necessary information for so long as necessary to permit sales pursuant to Rule 144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60" w:firstLine="645"/>
        <w:spacing w:after="0" w:line="258" w:lineRule="auto"/>
        <w:rPr>
          <w:sz w:val="20"/>
          <w:szCs w:val="20"/>
          <w:color w:val="auto"/>
        </w:rPr>
      </w:pPr>
      <w:r>
        <w:rPr>
          <w:rFonts w:ascii="Times New Roman" w:cs="Times New Roman" w:eastAsia="Times New Roman" w:hAnsi="Times New Roman"/>
          <w:sz w:val="18"/>
          <w:szCs w:val="18"/>
          <w:color w:val="010000"/>
        </w:rPr>
        <w:t>2.10            </w:t>
      </w:r>
      <w:r>
        <w:rPr>
          <w:rFonts w:ascii="Times New Roman" w:cs="Times New Roman" w:eastAsia="Times New Roman" w:hAnsi="Times New Roman"/>
          <w:sz w:val="18"/>
          <w:szCs w:val="18"/>
          <w:u w:val="single" w:color="auto"/>
          <w:color w:val="000000"/>
        </w:rPr>
        <w:t>Termination</w:t>
      </w:r>
      <w:r>
        <w:rPr>
          <w:rFonts w:ascii="Times New Roman" w:cs="Times New Roman" w:eastAsia="Times New Roman" w:hAnsi="Times New Roman"/>
          <w:sz w:val="18"/>
          <w:szCs w:val="18"/>
          <w:color w:val="000000"/>
        </w:rPr>
        <w:t>. The registration rights set forth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terminate and cease to be available as to any securities held by a Holder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at such time as such Holder (after owning) first ceases to own any Registrable Securities.  </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2.11            </w:t>
      </w:r>
      <w:r>
        <w:rPr>
          <w:rFonts w:ascii="Times New Roman" w:cs="Times New Roman" w:eastAsia="Times New Roman" w:hAnsi="Times New Roman"/>
          <w:sz w:val="18"/>
          <w:szCs w:val="18"/>
          <w:u w:val="single" w:color="auto"/>
          <w:color w:val="000000"/>
        </w:rPr>
        <w:t>Lock-Up Agreements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66" w:lineRule="auto"/>
        <w:rPr>
          <w:sz w:val="20"/>
          <w:szCs w:val="20"/>
          <w:color w:val="auto"/>
        </w:rPr>
      </w:pPr>
      <w:r>
        <w:rPr>
          <w:rFonts w:ascii="Times New Roman" w:cs="Times New Roman" w:eastAsia="Times New Roman" w:hAnsi="Times New Roman"/>
          <w:sz w:val="17"/>
          <w:szCs w:val="17"/>
          <w:color w:val="auto"/>
        </w:rPr>
        <w:t xml:space="preserve">(a)            InsuranceCo agrees that, if requested by the managing underwriter in any underwritten public offering contemplated by this Agreement, it will enter into a customary “lock-up” agreement providing that it will not, directly or indirectly, sell, offer to sell, grant any option for the sale of, or otherwise dispose of any InsuranceCo Common Units or securities convertible into or exchangeable or exercisable for InsuranceCo Common Units (subject to customary exceptions), for a period of up to sixty (60) days from the effective date of the Registration Statement pertaining to such InsuranceCo Common Units;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lock-up agreement shall not prohibit InsuranceCo from directly or indirectly (i) selling, offering to sell, granting any option for the sale of or otherwise disposing of any Qualifying Employee Units (or otherwise maintaining its employee benefits plans in the ordinary course of business) or (ii) issuing InsuranceCo Common Units or securities convertible into or exchangeable for InsuranceCo Common Units upon exercise or conversion of any option, right or convertible or exchangeable security. Each Holder shall coordinate with other Holders and, to the extent the Holders are aware of Other Unitholders, Other Unitholders such that the total number of days that InsuranceCo will be subject to such restrictions (including similar</w:t>
      </w:r>
    </w:p>
    <w:p>
      <w:pPr>
        <w:sectPr>
          <w:pgSz w:w="11900" w:h="16838" w:orient="portrait"/>
          <w:cols w:equalWidth="0" w:num="1">
            <w:col w:w="11240"/>
          </w:cols>
          <w:pgMar w:left="320" w:top="121" w:right="339" w:bottom="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restrictions pursuant to any registration rights agreements with any Other Unitholders) as may be in effect in any three hundred sixty (365) day period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exceed one hundred twenty (120) days.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 w:firstLine="645"/>
        <w:spacing w:after="0" w:line="249" w:lineRule="auto"/>
        <w:rPr>
          <w:sz w:val="20"/>
          <w:szCs w:val="20"/>
          <w:color w:val="auto"/>
        </w:rPr>
      </w:pPr>
      <w:r>
        <w:rPr>
          <w:rFonts w:ascii="Times New Roman" w:cs="Times New Roman" w:eastAsia="Times New Roman" w:hAnsi="Times New Roman"/>
          <w:sz w:val="18"/>
          <w:szCs w:val="18"/>
          <w:color w:val="auto"/>
        </w:rPr>
        <w:t>(b)            In the event that any Holder is an Affiliate of InsuranceCo, if requested by the managing underwriter in any underwritten public offering permitted by this Agreement, such Holder will enter into a customary “lock-up” agreement providing that it will not sell, grant any option for the sale of, or otherwise dispose of any InsuranceCo Common Units outside of such public offering (subject to customary exceptions) for a period of up to sixty (60) days from the effective date of the Registration Statement pertaining to such InsuranceCo Common Units.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60" w:firstLine="645"/>
        <w:spacing w:after="0" w:line="252" w:lineRule="auto"/>
        <w:rPr>
          <w:sz w:val="20"/>
          <w:szCs w:val="20"/>
          <w:color w:val="auto"/>
        </w:rPr>
      </w:pPr>
      <w:r>
        <w:rPr>
          <w:rFonts w:ascii="Times New Roman" w:cs="Times New Roman" w:eastAsia="Times New Roman" w:hAnsi="Times New Roman"/>
          <w:sz w:val="18"/>
          <w:szCs w:val="18"/>
          <w:color w:val="auto"/>
        </w:rPr>
        <w:t xml:space="preserve">a)            Notwithstanding any provision of this Agreement to the contrary, in order for a Registration to be included as a Registration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Registration Statement in connection therewith shall have been continually effective in compliance with the Securities Act and usable for resale for the full period established with respect to such Registration (except in the case of any suspension of sales pursuant to (i) a Scheduled Black-Out Period or (ii)</w:t>
      </w:r>
      <w:r>
        <w:rPr>
          <w:rFonts w:ascii="Times New Roman" w:cs="Times New Roman" w:eastAsia="Times New Roman" w:hAnsi="Times New Roman"/>
          <w:sz w:val="18"/>
          <w:szCs w:val="18"/>
          <w:u w:val="single" w:color="auto"/>
          <w:color w:val="auto"/>
        </w:rPr>
        <w:t> Section 2.6(c) </w:t>
      </w:r>
      <w:r>
        <w:rPr>
          <w:rFonts w:ascii="Times New Roman" w:cs="Times New Roman" w:eastAsia="Times New Roman" w:hAnsi="Times New Roman"/>
          <w:sz w:val="18"/>
          <w:szCs w:val="18"/>
          <w:color w:val="auto"/>
        </w:rPr>
        <w:t>hereof, in which case such period shall be extended to the extent of such suspension).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Notwithstanding any provision of this Agreement to the contrary, if InsuranceCo is required to file a post-effective amendment to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to incorporate InsuranceCo’s quarterly and annual reports and related financial statements on Form 10-Q and Form 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InsuranceCo shall use its reasonable best efforts to promptly file such post-effective amendment and may postpone or suspend effectiveness of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for a period not to exceed thirty (30) consecutive days to the extent InsuranceCo determines necessary to comply with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period by which InsuranceCo postpones or suspends the effectiveness of a shelf Registration Statement pursuant to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plus any suspension, deferral or delay pursuant to </w:t>
      </w:r>
      <w:r>
        <w:rPr>
          <w:rFonts w:ascii="Times New Roman" w:cs="Times New Roman" w:eastAsia="Times New Roman" w:hAnsi="Times New Roman"/>
          <w:sz w:val="18"/>
          <w:szCs w:val="18"/>
          <w:u w:val="single" w:color="auto"/>
          <w:color w:val="auto"/>
        </w:rPr>
        <w:t>Section 2.6(c) </w:t>
      </w:r>
      <w:r>
        <w:rPr>
          <w:rFonts w:ascii="Times New Roman" w:cs="Times New Roman" w:eastAsia="Times New Roman" w:hAnsi="Times New Roman"/>
          <w:sz w:val="18"/>
          <w:szCs w:val="18"/>
          <w:color w:val="auto"/>
        </w:rPr>
        <w:t>shall not exceed sixty (60) days in the aggregate in any twelve (12)-month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3. MISCELLANEOUS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010000"/>
        </w:rPr>
        <w:t>3.1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AGREEMENT WILL BE GOVERNED BY AND CONSTRUED IN ACCORDANCE WITH THE INTERNAL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LAWS OF THE STATE OF DELAWARE. EACH OF THE PARTIES HEREBY AGREES THAT ANY SUIT, ACTION OR PROCEEDING SEEKING TO ENFORCE ANY PROVISION OF, OR BASED ON ANY MATTER ARISING OUT OF OR IN CONNECTION WITH, THIS AGREEMENT (WHETHER BROUGHT BY ANY PARTY OR ANY OF ITS AFFILIATES OR AGAINST ANY PARTY OR ANY OF ITS AFFILIATES) SHALL BE BROUGHT IN THE COURT OF CHANCERY OF THE STATE OF DELAWARE (OR IN THE EVENT, BUT ONLY IN THE EVENT, THAT SUCH COURT DOES NOT HAVE SUBJECT MATTER JURISDICTION OVER SUCH ACTION OR PROCEEDING, THE SUPERIOR COURT OF THE STATE OF DELAWARE (COMPLEX COMMERCIAL DIVISION) OR, IF SUBJECT MATTER JURISDICTION OVER THE ACTION OR PROCEEDING IS VESTED EXCLUSIVELY IN THE FEDERAL COURTS OF THE UNITED STATES OF AMERICA, THE UNITED STATES DISTRICT COURT FOR THE DISTRICT OF DELAWARE) AND EACH OF THE PARTIES IRREVOCABLY SUBMITS TO THE JURISDICTION OF, AND VENUE IN, SUCH COURTS AND WAIVES ANY OBJECTION BASED ON FORUM NON CONVENIENS.  </w:t>
      </w:r>
    </w:p>
    <w:p>
      <w:pPr>
        <w:spacing w:after="0" w:line="209"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010000"/>
        </w:rPr>
        <w:t>3.2            </w:t>
      </w:r>
      <w:r>
        <w:rPr>
          <w:rFonts w:ascii="Times New Roman" w:cs="Times New Roman" w:eastAsia="Times New Roman" w:hAnsi="Times New Roman"/>
          <w:sz w:val="18"/>
          <w:szCs w:val="18"/>
          <w:u w:val="single" w:color="auto"/>
          <w:color w:val="000000"/>
        </w:rPr>
        <w:t>Interpretation; Headings</w:t>
      </w:r>
      <w:r>
        <w:rPr>
          <w:rFonts w:ascii="Times New Roman" w:cs="Times New Roman" w:eastAsia="Times New Roman" w:hAnsi="Times New Roman"/>
          <w:sz w:val="18"/>
          <w:szCs w:val="18"/>
          <w:color w:val="000000"/>
        </w:rPr>
        <w:t>. The parties hereto have participated jointly in negotiating and drafting this Agreement. In the event that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headings contained in this Agreement are for reference purposes only and shall not affect in any way the meaning or interpretation of this Agreement.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Agreement: (i) “or” shall mean “and/or”; (ii) “including” and its variants mean “including, without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and its variants; (iii) words defined in the singular have the parallel meaning in the plural and vice versa; (iv) references to “written” or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include in visual electronic form; (v) words of one gender shall be construed to apply to each gender; and (vi) the term “Section” refers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Section of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0" w:firstLine="645"/>
        <w:spacing w:after="0" w:line="249" w:lineRule="auto"/>
        <w:rPr>
          <w:sz w:val="20"/>
          <w:szCs w:val="20"/>
          <w:color w:val="auto"/>
        </w:rPr>
      </w:pPr>
      <w:r>
        <w:rPr>
          <w:rFonts w:ascii="Times New Roman" w:cs="Times New Roman" w:eastAsia="Times New Roman" w:hAnsi="Times New Roman"/>
          <w:sz w:val="18"/>
          <w:szCs w:val="18"/>
          <w:color w:val="010000"/>
        </w:rPr>
        <w:t>3.3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Any notice or other communication required or permitted to be given hereunder will be in writing and will be deemed to have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duly given if delivered by prepaid first-class mail, by email or other means of electronic communication or by hand-delivery and addressed as follows: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Howard Hughes Holdings Inc.</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joseph.valane@howardhughes.com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250 Vesey Street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Andrew Levine</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auto"/>
        </w:rPr>
        <w:t>amlevine@jonesday.com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00"/>
          </w:cols>
          <w:pgMar w:left="320" w:top="121" w:right="379" w:bottom="0" w:gutter="0" w:footer="0" w:header="0"/>
        </w:sectPr>
      </w:pPr>
    </w:p>
    <w:bookmarkStart w:id="153" w:name="page154"/>
    <w:bookmarkEnd w:id="153"/>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Atlanta, Georgia 30361</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Joel T. May</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jtmay@jonesday.com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InsuranceCo,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Howard Hughes Insurance Holdings, LLC</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David O’Reilly</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David.O’Reilly@howardhughes.com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250 Vesey Street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Andrew Levine</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auto"/>
        </w:rPr>
        <w:t>amlevine@jonesday.com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Atlanta, Georgia 30361 </w:t>
      </w:r>
    </w:p>
    <w:tbl>
      <w:tblPr>
        <w:tblLayout w:type="fixed"/>
        <w:tblInd w:w="1300" w:type="dxa"/>
        <w:tblCellMar>
          <w:top w:w="0" w:type="dxa"/>
          <w:left w:w="0" w:type="dxa"/>
          <w:bottom w:w="0" w:type="dxa"/>
          <w:right w:w="0" w:type="dxa"/>
        </w:tblCellMar>
      </w:tblPr>
      <w:tr>
        <w:trPr>
          <w:trHeight w:val="204"/>
        </w:trPr>
        <w:tc>
          <w:tcPr>
            <w:tcW w:w="10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Attention:</w:t>
            </w:r>
          </w:p>
        </w:tc>
        <w:tc>
          <w:tcPr>
            <w:tcW w:w="15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Joel T. May</w:t>
            </w:r>
          </w:p>
        </w:tc>
      </w:tr>
      <w:tr>
        <w:trPr>
          <w:trHeight w:val="193"/>
        </w:trPr>
        <w:tc>
          <w:tcPr>
            <w:tcW w:w="10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Email:</w:t>
            </w:r>
          </w:p>
        </w:tc>
        <w:tc>
          <w:tcPr>
            <w:tcW w:w="154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w w:val="96"/>
              </w:rPr>
              <w:t>jtmay@jonesday.com</w:t>
            </w:r>
          </w:p>
        </w:tc>
      </w:tr>
      <w:tr>
        <w:trPr>
          <w:trHeight w:val="2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spacing w:after="0"/>
              <w:rPr>
                <w:sz w:val="18"/>
                <w:szCs w:val="18"/>
                <w:color w:val="auto"/>
              </w:rPr>
            </w:pPr>
          </w:p>
        </w:tc>
      </w:tr>
      <w:tr>
        <w:trPr>
          <w:trHeight w:val="215"/>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to the Purchaser, to:</w:t>
            </w:r>
          </w:p>
        </w:tc>
      </w:tr>
      <w:tr>
        <w:trPr>
          <w:trHeight w:val="21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spacing w:after="0"/>
              <w:rPr>
                <w:sz w:val="18"/>
                <w:szCs w:val="18"/>
                <w:color w:val="auto"/>
              </w:rPr>
            </w:pPr>
          </w:p>
        </w:tc>
      </w:tr>
      <w:tr>
        <w:trPr>
          <w:trHeight w:val="215"/>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Pershing Square Holdings, Ltd.</w:t>
            </w:r>
          </w:p>
        </w:tc>
      </w:tr>
      <w:tr>
        <w:trPr>
          <w:trHeight w:val="215"/>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787 Eleventh Ave</w:t>
            </w:r>
          </w:p>
        </w:tc>
      </w:tr>
      <w:tr>
        <w:trPr>
          <w:trHeight w:val="215"/>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21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w w:val="94"/>
              </w:rPr>
              <w:t>     Chief Legal Officer</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     legal@persq.com</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D. Miller</w:t>
      </w:r>
    </w:p>
    <w:p>
      <w:pPr>
        <w:spacing w:after="0" w:line="8" w:lineRule="exact"/>
        <w:rPr>
          <w:sz w:val="20"/>
          <w:szCs w:val="20"/>
          <w:color w:val="auto"/>
        </w:rPr>
      </w:pPr>
    </w:p>
    <w:p>
      <w:pPr>
        <w:ind w:left="2320" w:hanging="1023"/>
        <w:spacing w:after="0"/>
        <w:tabs>
          <w:tab w:leader="none" w:pos="2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 Li</w:t>
      </w:r>
    </w:p>
    <w:p>
      <w:pPr>
        <w:spacing w:after="0" w:line="204" w:lineRule="exact"/>
        <w:rPr>
          <w:sz w:val="20"/>
          <w:szCs w:val="20"/>
          <w:color w:val="auto"/>
        </w:rPr>
      </w:pPr>
    </w:p>
    <w:p>
      <w:pPr>
        <w:ind w:left="2320" w:hanging="1023"/>
        <w:spacing w:after="0"/>
        <w:tabs>
          <w:tab w:leader="none" w:pos="2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liken@sullcrom.com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3.4            </w:t>
      </w:r>
      <w:r>
        <w:rPr>
          <w:rFonts w:ascii="Times New Roman" w:cs="Times New Roman" w:eastAsia="Times New Roman" w:hAnsi="Times New Roman"/>
          <w:sz w:val="18"/>
          <w:szCs w:val="18"/>
          <w:u w:val="single" w:color="auto"/>
          <w:color w:val="000000"/>
        </w:rPr>
        <w:t>Reproduction of Documents</w:t>
      </w:r>
      <w:r>
        <w:rPr>
          <w:rFonts w:ascii="Times New Roman" w:cs="Times New Roman" w:eastAsia="Times New Roman" w:hAnsi="Times New Roman"/>
          <w:sz w:val="18"/>
          <w:szCs w:val="18"/>
          <w:color w:val="000000"/>
        </w:rPr>
        <w:t>. This Agreement and all documents relating thereto, including, without limitation, any consents, waivers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modifications which may hereafter be executed, may be reproduced by the Holders by any photographic, photostatic, microfilm, microcard, miniature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photographic or other similar process and the Holders may destroy any original document so reproduced. The parties hereto agree and stipulate that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reproduction shall be admissible in evidence as the original itself in any judicial or administrative proceeding (whether or not the original is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existence and whether or not such reproduction was made by the Holders in the regular course of business) and that any enlargement, facsimile or further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reproduction of such reproduction shall likewise be admissible in evidence.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010000"/>
        </w:rPr>
        <w:t>3.5            </w:t>
      </w:r>
      <w:r>
        <w:rPr>
          <w:rFonts w:ascii="Times New Roman" w:cs="Times New Roman" w:eastAsia="Times New Roman" w:hAnsi="Times New Roman"/>
          <w:sz w:val="18"/>
          <w:szCs w:val="18"/>
          <w:u w:val="single" w:color="auto"/>
          <w:color w:val="000000"/>
        </w:rPr>
        <w:t>Successors and Assigns</w:t>
      </w:r>
      <w:r>
        <w:rPr>
          <w:rFonts w:ascii="Times New Roman" w:cs="Times New Roman" w:eastAsia="Times New Roman" w:hAnsi="Times New Roman"/>
          <w:sz w:val="18"/>
          <w:szCs w:val="18"/>
          <w:color w:val="000000"/>
        </w:rPr>
        <w:t>. Neither this Agreement nor any right or obligation hereunder may be assigned in whole or in part by any 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without the prior written consent of the other parties hereto and any purported assignment in violation of this provision shall be void;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rights and obligations hereunder of the Purchaser may be assigned, in whole or in part, to any Person who acquires such Registrable Securities that (i) is an Affiliate of any of the Purchaser or (ii) is unable to immediately sell, without limitations (including, but not limited to, any limitation on volume or manner of sale) or restrictions under Rule 144, all Registrable Securities and other shares of InsuranceCo Common Units held by such Person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for this clause (ii), any such rights and obligations may be assigned solely with respect to such Registrable Securities) (each such Person described in clause (i) or (ii), a “</w:t>
      </w:r>
      <w:r>
        <w:rPr>
          <w:rFonts w:ascii="Times New Roman" w:cs="Times New Roman" w:eastAsia="Times New Roman" w:hAnsi="Times New Roman"/>
          <w:sz w:val="18"/>
          <w:szCs w:val="18"/>
          <w:u w:val="single" w:color="auto"/>
          <w:color w:val="000000"/>
        </w:rPr>
        <w:t>Permitted Assignee</w:t>
      </w:r>
      <w:r>
        <w:rPr>
          <w:rFonts w:ascii="Times New Roman" w:cs="Times New Roman" w:eastAsia="Times New Roman" w:hAnsi="Times New Roman"/>
          <w:sz w:val="18"/>
          <w:szCs w:val="18"/>
          <w:color w:val="000000"/>
        </w:rPr>
        <w:t xml:space="preserve">”). Any assignment pursuant to this </w:t>
      </w:r>
      <w:r>
        <w:rPr>
          <w:rFonts w:ascii="Times New Roman" w:cs="Times New Roman" w:eastAsia="Times New Roman" w:hAnsi="Times New Roman"/>
          <w:sz w:val="18"/>
          <w:szCs w:val="18"/>
          <w:u w:val="single" w:color="auto"/>
          <w:color w:val="000000"/>
        </w:rPr>
        <w:t>Section 3.5</w:t>
      </w:r>
      <w:r>
        <w:rPr>
          <w:rFonts w:ascii="Times New Roman" w:cs="Times New Roman" w:eastAsia="Times New Roman" w:hAnsi="Times New Roman"/>
          <w:sz w:val="18"/>
          <w:szCs w:val="18"/>
          <w:color w:val="000000"/>
        </w:rPr>
        <w:t xml:space="preserve"> shall be effective and any Person shall become a Permitted Assignee only upon receipt by InsuranceCo of (1) a written notice from the transferring Holder stating the name and address of the transferee and identifying the number of shares of Registrable Securities with respect to which the rights under this Agreement are being transferred and, if fewer than all of the rights attributable to a Holder hereunder are to be so transferred, the nature of the rights so transferred and (2) a written instrument by which the transferee agrees to be bound by all of the terms and conditions applicable to a Holder of such Registrable Securities. Subject to the foregoing, this Agreement will inure to the benefit of and be binding upon the parties hereto and their respective successors and permitted assigns.  </w:t>
      </w:r>
    </w:p>
    <w:p>
      <w:pPr>
        <w:spacing w:after="0" w:line="208" w:lineRule="exact"/>
        <w:rPr>
          <w:sz w:val="20"/>
          <w:szCs w:val="20"/>
          <w:color w:val="auto"/>
        </w:rPr>
      </w:pPr>
    </w:p>
    <w:p>
      <w:pPr>
        <w:jc w:val="both"/>
        <w:ind w:right="480" w:firstLine="645"/>
        <w:spacing w:after="0" w:line="253" w:lineRule="auto"/>
        <w:rPr>
          <w:sz w:val="20"/>
          <w:szCs w:val="20"/>
          <w:color w:val="auto"/>
        </w:rPr>
      </w:pPr>
      <w:r>
        <w:rPr>
          <w:rFonts w:ascii="Times New Roman" w:cs="Times New Roman" w:eastAsia="Times New Roman" w:hAnsi="Times New Roman"/>
          <w:sz w:val="18"/>
          <w:szCs w:val="18"/>
          <w:color w:val="010000"/>
        </w:rPr>
        <w:t>3.6            </w:t>
      </w:r>
      <w:r>
        <w:rPr>
          <w:rFonts w:ascii="Times New Roman" w:cs="Times New Roman" w:eastAsia="Times New Roman" w:hAnsi="Times New Roman"/>
          <w:sz w:val="18"/>
          <w:szCs w:val="18"/>
          <w:u w:val="single" w:color="auto"/>
          <w:color w:val="000000"/>
        </w:rPr>
        <w:t>Several Nature of Commitments</w:t>
      </w:r>
      <w:r>
        <w:rPr>
          <w:rFonts w:ascii="Times New Roman" w:cs="Times New Roman" w:eastAsia="Times New Roman" w:hAnsi="Times New Roman"/>
          <w:sz w:val="18"/>
          <w:szCs w:val="18"/>
          <w:color w:val="000000"/>
        </w:rPr>
        <w:t>. The obligations of each Holder hereunder are several and not joint and several, and relate only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Registrable Securities held by such Holder from time to time. No Holder shall bear responsibility to InsuranceCo for breach of this Agreement or any information provided by any other Holder.</w:t>
      </w:r>
    </w:p>
    <w:p>
      <w:pPr>
        <w:sectPr>
          <w:pgSz w:w="11900" w:h="16838" w:orient="portrait"/>
          <w:cols w:equalWidth="0" w:num="1">
            <w:col w:w="11240"/>
          </w:cols>
          <w:pgMar w:left="320" w:top="121" w:right="339" w:bottom="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010000"/>
        </w:rPr>
        <w:t>3.7            </w:t>
      </w:r>
      <w:r>
        <w:rPr>
          <w:rFonts w:ascii="Times New Roman" w:cs="Times New Roman" w:eastAsia="Times New Roman" w:hAnsi="Times New Roman"/>
          <w:sz w:val="18"/>
          <w:szCs w:val="18"/>
          <w:u w:val="single" w:color="auto"/>
          <w:color w:val="000000"/>
        </w:rPr>
        <w:t>Additional Unitholders</w:t>
      </w:r>
      <w:r>
        <w:rPr>
          <w:rFonts w:ascii="Times New Roman" w:cs="Times New Roman" w:eastAsia="Times New Roman" w:hAnsi="Times New Roman"/>
          <w:sz w:val="18"/>
          <w:szCs w:val="18"/>
          <w:color w:val="000000"/>
        </w:rPr>
        <w:t>. The parties hereto acknowledge that certain Persons may become unitholders of InsuranceCo and InsuranceCo may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wish to grant such Persons registration rights with respect to the shares of InsuranceCo Common Units issued to such Persons. InsuranceCo may do so in its discretion so long as such registration rights are not inconsistent with the registration rights granted to the Holders hereunder and the terms of the Certificate of Designations, and, if any registration rights granted are more favorable than those provided to Holders of InsuranceCo Common Units hereunder, conforming changes reasonably acceptable to the Purchaser are made to this Agreement to provide Holders hereunder with substantially similar rights.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3.8            </w:t>
      </w:r>
      <w:r>
        <w:rPr>
          <w:rFonts w:ascii="Times New Roman" w:cs="Times New Roman" w:eastAsia="Times New Roman" w:hAnsi="Times New Roman"/>
          <w:sz w:val="17"/>
          <w:szCs w:val="17"/>
          <w:u w:val="single" w:color="auto"/>
          <w:color w:val="000000"/>
        </w:rPr>
        <w:t>Entire Agreement</w:t>
      </w:r>
      <w:r>
        <w:rPr>
          <w:rFonts w:ascii="Times New Roman" w:cs="Times New Roman" w:eastAsia="Times New Roman" w:hAnsi="Times New Roman"/>
          <w:sz w:val="17"/>
          <w:szCs w:val="17"/>
          <w:color w:val="000000"/>
        </w:rPr>
        <w:t>. The Transaction Documents constitute the entire agreement of the parties and their Affiliates and supersede all prior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contemporaneous agreements, arrangements or understandings, whether written or oral, among the parties and their Affiliates with respect to the subject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of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3.9            </w:t>
      </w:r>
      <w:r>
        <w:rPr>
          <w:rFonts w:ascii="Times New Roman" w:cs="Times New Roman" w:eastAsia="Times New Roman" w:hAnsi="Times New Roman"/>
          <w:sz w:val="18"/>
          <w:szCs w:val="18"/>
          <w:u w:val="single" w:color="auto"/>
          <w:color w:val="000000"/>
        </w:rPr>
        <w:t>Amendment and Waiver</w:t>
      </w:r>
      <w:r>
        <w:rPr>
          <w:rFonts w:ascii="Times New Roman" w:cs="Times New Roman" w:eastAsia="Times New Roman" w:hAnsi="Times New Roman"/>
          <w:sz w:val="18"/>
          <w:szCs w:val="18"/>
          <w:color w:val="000000"/>
        </w:rPr>
        <w:t>. This Agreement may be amended, modified, superseded, cancelled, renewed or extended, and the terms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of this Agreement may be waived, with (and only with) the written consent of (i) prior to the occurrence of an InsuranceCo Exchange of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Registrable Securities, the Company, InsuranceCo and the Holders holding a majority of the then outstanding Registrable Securities (and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amendment shall apply to all Holders and all of their Registrable Securities) and (ii) from and after the occurrence of an InsuranceCo Exchange of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Registrable Securities, InsuranceCo and the Holders holding a majority of the then outstanding Registrable Securities (and any such amendment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apply to all Holders and all of their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no amendment to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may adversely affect the rights of a Holder hereunder without the prior written consent of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foregoing, additional Holders may become party hereto upon an assignment of rights and obligations hereunder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other than as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InsuranceCo may not add additional parties hereto without the consent of Holders holding a majority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then outstanding Registrable Securities. The observance of any term of this Agreement may be waived by the party or parties waiving any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waiver shall apply to all Holders and all of their Registrable Securities only if made by Holders holding a majority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then-outstanding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delay on the part of any party in exercising any right, power or privilege pursuant to this Agreement shall operate as a waiver thereof, nor shall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on the part of any party of any right, power or privilege pursuant to this Agreement, nor shall any single or partial exercise of any right, power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privilege pursuant to this Agreement, preclude any other or further exercise thereof or the exercise of any other right, power or privilege pursuant to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rights and remedies provided pursuant to this Agreement are cumulative and are not exclusive of any rights or remedies which any party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may have at law or in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60" w:firstLine="645"/>
        <w:spacing w:after="0" w:line="252" w:lineRule="auto"/>
        <w:rPr>
          <w:sz w:val="20"/>
          <w:szCs w:val="20"/>
          <w:color w:val="auto"/>
        </w:rPr>
      </w:pPr>
      <w:r>
        <w:rPr>
          <w:rFonts w:ascii="Times New Roman" w:cs="Times New Roman" w:eastAsia="Times New Roman" w:hAnsi="Times New Roman"/>
          <w:sz w:val="18"/>
          <w:szCs w:val="18"/>
          <w:color w:val="010000"/>
        </w:rPr>
        <w:t>3.10            </w:t>
      </w:r>
      <w:r>
        <w:rPr>
          <w:rFonts w:ascii="Times New Roman" w:cs="Times New Roman" w:eastAsia="Times New Roman" w:hAnsi="Times New Roman"/>
          <w:sz w:val="18"/>
          <w:szCs w:val="18"/>
          <w:u w:val="single" w:color="auto"/>
          <w:color w:val="000000"/>
        </w:rPr>
        <w:t>Injunctive Relief</w:t>
      </w:r>
      <w:r>
        <w:rPr>
          <w:rFonts w:ascii="Times New Roman" w:cs="Times New Roman" w:eastAsia="Times New Roman" w:hAnsi="Times New Roman"/>
          <w:sz w:val="18"/>
          <w:szCs w:val="18"/>
          <w:color w:val="000000"/>
        </w:rPr>
        <w:t>. The parties agree that irreparable damage would occur in the event that any provisions of this Agreement were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performed in accordance with their specific terms. It is accordingly agreed that each of the parties shall be entitled to an injunction or injunctions (without necessity of proving damages or posting a bond or other security) to prevent breaches of this Agreement, and to enforce specifically the terms and provisions of this Agreement, in addition to any other applicable remedies at law or equity.  </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329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010000"/>
        </w:rPr>
        <w:t>3.11            </w:t>
      </w:r>
      <w:r>
        <w:rPr>
          <w:rFonts w:ascii="Times New Roman" w:cs="Times New Roman" w:eastAsia="Times New Roman" w:hAnsi="Times New Roman"/>
          <w:sz w:val="18"/>
          <w:szCs w:val="18"/>
          <w:u w:val="single" w:color="auto"/>
          <w:color w:val="000000"/>
        </w:rPr>
        <w:t>WAIVER OF JURY TRIAL</w:t>
      </w:r>
      <w:r>
        <w:rPr>
          <w:rFonts w:ascii="Times New Roman" w:cs="Times New Roman" w:eastAsia="Times New Roman" w:hAnsi="Times New Roman"/>
          <w:sz w:val="18"/>
          <w:szCs w:val="18"/>
          <w:color w:val="000000"/>
        </w:rPr>
        <w:t>. EACH PARTY ACKNOWLEDGES AND AGREES THAT ANY CONTROVERSY WHICH MAY ARISE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 THIS AGREEMENT IS LIKELY TO INVOLVE COMPLICATED AND DIFFICULT ISSUES AND, THEREFORE, EACH SUCH PARTY IRREVOCABLY AND UNCONDITIONALLY WAIVES ANY RIGHT IT MAY HAVE TO A TRIAL BY JURY IN RESPECT OF ANY ACTIONS, SUITS, DEMAND LETTERS, JUDICIAL, ADMINISTRATIVE OR REGULATORY PROCEEDINGS, OR HEARINGS, NOTICES OF VIOLATION OR INVESTIGATIONS ARISING OUT OF OR RELATING TO THIS AGREEMENT. EACH PARTY TO THIS AGREEMENT CERTIFIES AND ACKNOWLEDGES THAT (A) SUCH PARTY HAS CONSIDERED THE IMPLICATIONS OF THIS WAIVER AND (B) SUCH PARTY MAKES THIS WAIVER VOLUNTARILY.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3.12            </w:t>
      </w:r>
      <w:r>
        <w:rPr>
          <w:rFonts w:ascii="Times New Roman" w:cs="Times New Roman" w:eastAsia="Times New Roman" w:hAnsi="Times New Roman"/>
          <w:sz w:val="18"/>
          <w:szCs w:val="18"/>
          <w:u w:val="single" w:color="auto"/>
          <w:color w:val="000000"/>
        </w:rPr>
        <w:t>No Inconsistent Agreements</w:t>
      </w:r>
      <w:r>
        <w:rPr>
          <w:rFonts w:ascii="Times New Roman" w:cs="Times New Roman" w:eastAsia="Times New Roman" w:hAnsi="Times New Roman"/>
          <w:sz w:val="18"/>
          <w:szCs w:val="18"/>
          <w:color w:val="000000"/>
        </w:rPr>
        <w:t>. Each of the Company and InsuranceCo is not currently a party to any agreement which is, or could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inconsistent with, the rights granted to the Holders by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 w:firstLine="645"/>
        <w:spacing w:after="0" w:line="249" w:lineRule="auto"/>
        <w:rPr>
          <w:sz w:val="20"/>
          <w:szCs w:val="20"/>
          <w:color w:val="auto"/>
        </w:rPr>
      </w:pPr>
      <w:r>
        <w:rPr>
          <w:rFonts w:ascii="Times New Roman" w:cs="Times New Roman" w:eastAsia="Times New Roman" w:hAnsi="Times New Roman"/>
          <w:sz w:val="18"/>
          <w:szCs w:val="18"/>
          <w:color w:val="010000"/>
        </w:rPr>
        <w:t>3.13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The provisions of this Agreement shall be deemed severable and the invalidity or unenforceability of any provision shall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00" w:firstLine="645"/>
        <w:spacing w:after="0" w:line="253" w:lineRule="auto"/>
        <w:rPr>
          <w:sz w:val="20"/>
          <w:szCs w:val="20"/>
          <w:color w:val="auto"/>
        </w:rPr>
      </w:pPr>
      <w:r>
        <w:rPr>
          <w:rFonts w:ascii="Times New Roman" w:cs="Times New Roman" w:eastAsia="Times New Roman" w:hAnsi="Times New Roman"/>
          <w:sz w:val="18"/>
          <w:szCs w:val="18"/>
          <w:color w:val="010000"/>
        </w:rPr>
        <w:t>3.14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Agreement may be executed in any number of counterparts, all of which shall be considered one and the same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shall become effective when counterparts have been signed by each of the parties and delivered to the other party (including via email or other electronic transmission), it being understood that each party need not sign the same counterpart.  </w:t>
      </w:r>
    </w:p>
    <w:p>
      <w:pPr>
        <w:spacing w:after="0" w:line="205" w:lineRule="exact"/>
        <w:rPr>
          <w:sz w:val="20"/>
          <w:szCs w:val="20"/>
          <w:color w:val="auto"/>
        </w:rPr>
      </w:pPr>
    </w:p>
    <w:p>
      <w:pPr>
        <w:ind w:right="40" w:firstLine="645"/>
        <w:spacing w:after="0" w:line="258" w:lineRule="auto"/>
        <w:rPr>
          <w:sz w:val="20"/>
          <w:szCs w:val="20"/>
          <w:color w:val="auto"/>
        </w:rPr>
      </w:pPr>
      <w:r>
        <w:rPr>
          <w:rFonts w:ascii="Times New Roman" w:cs="Times New Roman" w:eastAsia="Times New Roman" w:hAnsi="Times New Roman"/>
          <w:sz w:val="18"/>
          <w:szCs w:val="18"/>
          <w:color w:val="010000"/>
        </w:rPr>
        <w:t>3.15            </w:t>
      </w:r>
      <w:r>
        <w:rPr>
          <w:rFonts w:ascii="Times New Roman" w:cs="Times New Roman" w:eastAsia="Times New Roman" w:hAnsi="Times New Roman"/>
          <w:sz w:val="18"/>
          <w:szCs w:val="18"/>
          <w:u w:val="single" w:color="auto"/>
          <w:color w:val="000000"/>
        </w:rPr>
        <w:t>Interpretation of This Agreement</w:t>
      </w:r>
      <w:r>
        <w:rPr>
          <w:rFonts w:ascii="Times New Roman" w:cs="Times New Roman" w:eastAsia="Times New Roman" w:hAnsi="Times New Roman"/>
          <w:sz w:val="18"/>
          <w:szCs w:val="18"/>
          <w:color w:val="000000"/>
        </w:rPr>
        <w:t>. Where any provision in this Agreement refers to action to be taken by any Person, or which such Person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prohibited from taking, such provision shall be applicable whether such action is taken directly or indirectly by such Person.  </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Remainder of Page Intentionally Left Blank</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121" w:right="379" w:bottom="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Registration Rights Agreement as of the date first set forth above.</w:t>
      </w:r>
    </w:p>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HOWARD HUGHES HOLDINGS INC.</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Name: David O’Reilly</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HOWARD HUGHES INSURANCE HOLDINGS, LLC</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 </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Name: David O’Reilly</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PERSHING SQUARE HOLDINGS, LTD.</w:t>
            </w:r>
          </w:p>
        </w:tc>
        <w:tc>
          <w:tcPr>
            <w:tcW w:w="1220" w:type="dxa"/>
            <w:vAlign w:val="bottom"/>
          </w:tcPr>
          <w:p>
            <w:pPr>
              <w:spacing w:after="0"/>
              <w:rPr>
                <w:sz w:val="19"/>
                <w:szCs w:val="19"/>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1220" w:type="dxa"/>
            <w:vAlign w:val="bottom"/>
          </w:tcPr>
          <w:p>
            <w:pPr>
              <w:spacing w:after="0"/>
              <w:rPr>
                <w:sz w:val="20"/>
                <w:szCs w:val="20"/>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Name: Rupert Morley</w:t>
            </w:r>
          </w:p>
        </w:tc>
        <w:tc>
          <w:tcPr>
            <w:tcW w:w="1220" w:type="dxa"/>
            <w:vAlign w:val="bottom"/>
            <w:tcBorders>
              <w:top w:val="single" w:sz="8" w:color="auto"/>
            </w:tcBorders>
          </w:tcPr>
          <w:p>
            <w:pPr>
              <w:spacing w:after="0"/>
              <w:rPr>
                <w:sz w:val="16"/>
                <w:szCs w:val="16"/>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w:t>
            </w:r>
          </w:p>
        </w:tc>
        <w:tc>
          <w:tcPr>
            <w:tcW w:w="1220" w:type="dxa"/>
            <w:vAlign w:val="bottom"/>
          </w:tcPr>
          <w:p>
            <w:pPr>
              <w:spacing w:after="0"/>
              <w:rPr>
                <w:sz w:val="18"/>
                <w:szCs w:val="18"/>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12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99.47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PROXY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4, 2026</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Voting Proxy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4, 2026, is made by and among Pershing Square Inc., a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Pershing Square Capital Management, L.P., a Delaware limited partnership (“</w:t>
      </w:r>
      <w:r>
        <w:rPr>
          <w:rFonts w:ascii="Times New Roman" w:cs="Times New Roman" w:eastAsia="Times New Roman" w:hAnsi="Times New Roman"/>
          <w:sz w:val="18"/>
          <w:szCs w:val="18"/>
          <w:u w:val="single" w:color="auto"/>
          <w:color w:val="auto"/>
        </w:rPr>
        <w:t>PSCM</w:t>
      </w:r>
      <w:r>
        <w:rPr>
          <w:rFonts w:ascii="Times New Roman" w:cs="Times New Roman" w:eastAsia="Times New Roman" w:hAnsi="Times New Roman"/>
          <w:sz w:val="18"/>
          <w:szCs w:val="18"/>
          <w:color w:val="auto"/>
        </w:rPr>
        <w:t>”), Pershing Square Holdings, Ltd., a limited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organized under the laws of Guernsey (“</w:t>
      </w:r>
      <w:r>
        <w:rPr>
          <w:rFonts w:ascii="Times New Roman" w:cs="Times New Roman" w:eastAsia="Times New Roman" w:hAnsi="Times New Roman"/>
          <w:sz w:val="18"/>
          <w:szCs w:val="18"/>
          <w:u w:val="single" w:color="auto"/>
          <w:color w:val="auto"/>
        </w:rPr>
        <w:t>PSH</w:t>
      </w:r>
      <w:r>
        <w:rPr>
          <w:rFonts w:ascii="Times New Roman" w:cs="Times New Roman" w:eastAsia="Times New Roman" w:hAnsi="Times New Roman"/>
          <w:sz w:val="18"/>
          <w:szCs w:val="18"/>
          <w:color w:val="auto"/>
        </w:rPr>
        <w:t>”) and each entity listed on Exhibit A attached hereto (each, a “Blocker” and collectively,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Blockers</w:t>
      </w:r>
      <w:r>
        <w:rPr>
          <w:rFonts w:ascii="Times New Roman" w:cs="Times New Roman" w:eastAsia="Times New Roman" w:hAnsi="Times New Roman"/>
          <w:sz w:val="18"/>
          <w:szCs w:val="18"/>
          <w:color w:val="auto"/>
        </w:rPr>
        <w:t>”). Parent, PSCM, PSH and the Blockers are collectively referred to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in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but not defined herein shall have the meanings assigned to them in that certain Subscription Agreement, dated June 4, 2026 (the “</w:t>
      </w:r>
      <w:r>
        <w:rPr>
          <w:rFonts w:ascii="Times New Roman" w:cs="Times New Roman" w:eastAsia="Times New Roman" w:hAnsi="Times New Roman"/>
          <w:sz w:val="18"/>
          <w:szCs w:val="18"/>
          <w:u w:val="single" w:color="auto"/>
          <w:color w:val="auto"/>
        </w:rPr>
        <w:t>Subscription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PSH, Howard Hughes Holdings Inc. (“</w:t>
      </w:r>
      <w:r>
        <w:rPr>
          <w:rFonts w:ascii="Times New Roman" w:cs="Times New Roman" w:eastAsia="Times New Roman" w:hAnsi="Times New Roman"/>
          <w:sz w:val="18"/>
          <w:szCs w:val="18"/>
          <w:u w:val="single" w:color="auto"/>
          <w:color w:val="auto"/>
        </w:rPr>
        <w:t>HHH</w:t>
      </w:r>
      <w:r>
        <w:rPr>
          <w:rFonts w:ascii="Times New Roman" w:cs="Times New Roman" w:eastAsia="Times New Roman" w:hAnsi="Times New Roman"/>
          <w:sz w:val="18"/>
          <w:szCs w:val="18"/>
          <w:color w:val="auto"/>
        </w:rPr>
        <w:t>”) and Howard Hughes Insurance Holdings, LLC (“</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each of the Blockers is a Cayman Islands exempted company and a wholly owned subsidiary of PSH;</w:t>
      </w:r>
    </w:p>
    <w:p>
      <w:pPr>
        <w:spacing w:after="0" w:line="223" w:lineRule="exact"/>
        <w:rPr>
          <w:sz w:val="20"/>
          <w:szCs w:val="20"/>
          <w:color w:val="auto"/>
        </w:rPr>
      </w:pPr>
    </w:p>
    <w:p>
      <w:pPr>
        <w:ind w:right="340" w:firstLine="1288"/>
        <w:spacing w:after="0" w:line="280" w:lineRule="auto"/>
        <w:rPr>
          <w:sz w:val="20"/>
          <w:szCs w:val="20"/>
          <w:color w:val="auto"/>
        </w:rPr>
      </w:pPr>
      <w:r>
        <w:rPr>
          <w:rFonts w:ascii="Times New Roman" w:cs="Times New Roman" w:eastAsia="Times New Roman" w:hAnsi="Times New Roman"/>
          <w:sz w:val="18"/>
          <w:szCs w:val="18"/>
          <w:color w:val="auto"/>
        </w:rPr>
        <w:t>WHEREAS, as of the date hereof, PSH is a beneficial owner of the Series A Non-Voting Exchangeable Perpetual Preferred Stock, par value $0.01 per share, of HHH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which PSH holds through the Blockers;</w:t>
      </w:r>
    </w:p>
    <w:p>
      <w:pPr>
        <w:spacing w:after="0" w:line="162" w:lineRule="exact"/>
        <w:rPr>
          <w:sz w:val="20"/>
          <w:szCs w:val="20"/>
          <w:color w:val="auto"/>
        </w:rPr>
      </w:pPr>
    </w:p>
    <w:p>
      <w:pPr>
        <w:ind w:right="180" w:firstLine="1288"/>
        <w:spacing w:after="0" w:line="264" w:lineRule="auto"/>
        <w:rPr>
          <w:sz w:val="20"/>
          <w:szCs w:val="20"/>
          <w:color w:val="auto"/>
        </w:rPr>
      </w:pPr>
      <w:r>
        <w:rPr>
          <w:rFonts w:ascii="Times New Roman" w:cs="Times New Roman" w:eastAsia="Times New Roman" w:hAnsi="Times New Roman"/>
          <w:sz w:val="18"/>
          <w:szCs w:val="18"/>
          <w:color w:val="auto"/>
        </w:rPr>
        <w:t>WHEREAS, HHH has adopted the Certificate of Designations of Series A Preferred Stock, dated June 4, 2026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Designations</w:t>
      </w:r>
      <w:r>
        <w:rPr>
          <w:rFonts w:ascii="Times New Roman" w:cs="Times New Roman" w:eastAsia="Times New Roman" w:hAnsi="Times New Roman"/>
          <w:sz w:val="18"/>
          <w:szCs w:val="18"/>
          <w:color w:val="auto"/>
        </w:rPr>
        <w:t>”), pursuant to which a holder of Series A Preferred Stock may, in certain circumstances, exchange its shares of Series A Preferred Stock into applicable equity interests of InsuranceCo, subject to the terms and conditions of the Certificate of Designations;</w:t>
      </w:r>
    </w:p>
    <w:p>
      <w:pPr>
        <w:spacing w:after="0" w:line="177" w:lineRule="exact"/>
        <w:rPr>
          <w:sz w:val="20"/>
          <w:szCs w:val="20"/>
          <w:color w:val="auto"/>
        </w:rPr>
      </w:pPr>
    </w:p>
    <w:p>
      <w:pPr>
        <w:ind w:firstLine="1288"/>
        <w:spacing w:after="0" w:line="259"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the Subscription Agreement and the Certificate of Designations (collectively, the “</w:t>
      </w:r>
      <w:r>
        <w:rPr>
          <w:rFonts w:ascii="Times New Roman" w:cs="Times New Roman" w:eastAsia="Times New Roman" w:hAnsi="Times New Roman"/>
          <w:sz w:val="18"/>
          <w:szCs w:val="18"/>
          <w:u w:val="single" w:color="auto"/>
          <w:color w:val="auto"/>
        </w:rPr>
        <w:t>Related Transactions</w:t>
      </w:r>
      <w:r>
        <w:rPr>
          <w:rFonts w:ascii="Times New Roman" w:cs="Times New Roman" w:eastAsia="Times New Roman" w:hAnsi="Times New Roman"/>
          <w:sz w:val="18"/>
          <w:szCs w:val="18"/>
          <w:color w:val="auto"/>
        </w:rPr>
        <w:t>”), the Parties desire to address certain matters related to the voting of any shares of Series A Preferred Stock held by PSH and the Blockers now or in the future, including shares, units or interests issued as a dividend or other distribution with respect to, or in exchange for or in conversion, exercise or replacement of, any Series A Preferred Stock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and</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each Party has received prior to the date hereof the requisite approval from its applicable governing body to enter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4" w:lineRule="exact"/>
        <w:rPr>
          <w:sz w:val="20"/>
          <w:szCs w:val="20"/>
          <w:color w:val="auto"/>
        </w:rPr>
      </w:pPr>
    </w:p>
    <w:p>
      <w:pPr>
        <w:ind w:right="980" w:firstLine="1288"/>
        <w:spacing w:after="0" w:line="280"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undertakings contained herein and for good and valuable consideration, the receipt and sufficiency of which are hereby acknowledged, the Parties hereby agree as follows:</w:t>
      </w:r>
    </w:p>
    <w:p>
      <w:pPr>
        <w:sectPr>
          <w:pgSz w:w="11900" w:h="16838" w:orient="portrait"/>
          <w:cols w:equalWidth="0" w:num="1">
            <w:col w:w="11240"/>
          </w:cols>
          <w:pgMar w:left="320" w:top="269" w:right="339" w:bottom="1440" w:gutter="0" w:footer="0" w:header="0"/>
        </w:sectPr>
      </w:pPr>
    </w:p>
    <w:bookmarkStart w:id="157" w:name="page158"/>
    <w:bookmarkEnd w:id="157"/>
    <w:p>
      <w:pPr>
        <w:ind w:left="-500" w:firstLine="652"/>
        <w:spacing w:after="0" w:line="253" w:lineRule="auto"/>
        <w:tabs>
          <w:tab w:leader="none" w:pos="7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 and Power of Attorney</w:t>
      </w:r>
      <w:r>
        <w:rPr>
          <w:rFonts w:ascii="Times New Roman" w:cs="Times New Roman" w:eastAsia="Times New Roman" w:hAnsi="Times New Roman"/>
          <w:sz w:val="18"/>
          <w:szCs w:val="18"/>
          <w:color w:val="auto"/>
        </w:rPr>
        <w:t xml:space="preserve">. Subject to any limitations imposed by applicable law, until termination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PSH and each Blocker hereby constitutes and appoints Parent (and any officer(s) of Parent designated as proxy or proxies by Parent) with full power of substitution and resubstitution, as its true and lawful proxy and attorney-in-fact, to vote all Subject Shares (i) at any meeting (and any adjournment or postponement thereof) of the holders of Subject Shares, (ii) in connection with any written consent of the holders of Subject Shares and (iii) on any other matter with respect to which PSH and/or such Blocker has the right to vote, consent or approve pursuant to applicable law and organizational documents, which may include, as applicable, the Amended and Restated Certificate of Incorporation of HHH, adopted as of August 11, 2023 (as amended from time to time, including by the Certificate of Designations) and the Amended and Restated Bylaws of HHH, adopted as of August 11, 2023 (as amended from time to time), or the Operating Agreement of InsuranceCo, adopted as of December 12, 2025 (as amended from time to time) (such organizational documents, the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800" w:hanging="648"/>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222"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1"/>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term of the proxy and power of attorney granted herein (the “</w:t>
      </w:r>
      <w:r>
        <w:rPr>
          <w:rFonts w:ascii="Times New Roman" w:cs="Times New Roman" w:eastAsia="Times New Roman" w:hAnsi="Times New Roman"/>
          <w:sz w:val="18"/>
          <w:szCs w:val="18"/>
          <w:u w:val="single" w:color="auto"/>
          <w:color w:val="auto"/>
        </w:rPr>
        <w:t>Prox</w:t>
      </w:r>
      <w:r>
        <w:rPr>
          <w:rFonts w:ascii="Times New Roman" w:cs="Times New Roman" w:eastAsia="Times New Roman" w:hAnsi="Times New Roman"/>
          <w:sz w:val="18"/>
          <w:szCs w:val="18"/>
          <w:color w:val="auto"/>
        </w:rPr>
        <w:t>y”) shall commence as of the date hereof and shall terminate</w:t>
      </w:r>
    </w:p>
    <w:p>
      <w:pPr>
        <w:spacing w:after="0" w:line="26"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automatically:</w:t>
      </w:r>
    </w:p>
    <w:p>
      <w:pPr>
        <w:spacing w:after="0" w:line="204" w:lineRule="exact"/>
        <w:rPr>
          <w:rFonts w:ascii="Times New Roman" w:cs="Times New Roman" w:eastAsia="Times New Roman" w:hAnsi="Times New Roman"/>
          <w:sz w:val="18"/>
          <w:szCs w:val="18"/>
          <w:color w:val="010000"/>
        </w:rPr>
      </w:pPr>
    </w:p>
    <w:p>
      <w:pPr>
        <w:ind w:left="1440" w:hanging="320"/>
        <w:spacing w:after="0"/>
        <w:tabs>
          <w:tab w:leader="none" w:pos="14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Subject Share, automatically upon such Subject Share ceasing to be owned directly or indirectly by PSH;</w:t>
      </w:r>
    </w:p>
    <w:p>
      <w:pPr>
        <w:spacing w:after="0" w:line="222" w:lineRule="exact"/>
        <w:rPr>
          <w:rFonts w:ascii="Times New Roman" w:cs="Times New Roman" w:eastAsia="Times New Roman" w:hAnsi="Times New Roman"/>
          <w:sz w:val="18"/>
          <w:szCs w:val="18"/>
          <w:color w:val="auto"/>
        </w:rPr>
      </w:pPr>
    </w:p>
    <w:p>
      <w:pPr>
        <w:ind w:left="1440" w:right="760" w:hanging="320"/>
        <w:spacing w:after="0" w:line="280" w:lineRule="auto"/>
        <w:tabs>
          <w:tab w:leader="none" w:pos="14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by PSH to Parent given no less than twelve months after termination of the Amended and Restated Investment Management Agreement between PSCM and PSH, dated as of August 5, 2025; or</w:t>
      </w:r>
    </w:p>
    <w:p>
      <w:pPr>
        <w:spacing w:after="0" w:line="161" w:lineRule="exact"/>
        <w:rPr>
          <w:rFonts w:ascii="Times New Roman" w:cs="Times New Roman" w:eastAsia="Times New Roman" w:hAnsi="Times New Roman"/>
          <w:sz w:val="18"/>
          <w:szCs w:val="18"/>
          <w:color w:val="auto"/>
        </w:rPr>
      </w:pPr>
    </w:p>
    <w:p>
      <w:pPr>
        <w:ind w:left="1440" w:hanging="320"/>
        <w:spacing w:after="0"/>
        <w:tabs>
          <w:tab w:leader="none" w:pos="14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by Parent to PSH.</w:t>
      </w:r>
    </w:p>
    <w:p>
      <w:pPr>
        <w:spacing w:after="0" w:line="222" w:lineRule="exact"/>
        <w:rPr>
          <w:rFonts w:ascii="Times New Roman" w:cs="Times New Roman" w:eastAsia="Times New Roman" w:hAnsi="Times New Roman"/>
          <w:sz w:val="18"/>
          <w:szCs w:val="18"/>
          <w:color w:val="auto"/>
        </w:rPr>
      </w:pPr>
    </w:p>
    <w:p>
      <w:pPr>
        <w:ind w:right="180" w:firstLine="515"/>
        <w:spacing w:after="0" w:line="280" w:lineRule="auto"/>
        <w:tabs>
          <w:tab w:leader="none" w:pos="1035" w:val="left"/>
        </w:tabs>
        <w:numPr>
          <w:ilvl w:val="1"/>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It is expressly understood and agreed that the Proxy is granted to Parent in connection with the Related Transactions, is coupled with an interest and is revocable only by termination pursuant to the terms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ind w:left="-500" w:right="140" w:firstLine="652"/>
        <w:spacing w:after="0" w:line="264" w:lineRule="auto"/>
        <w:tabs>
          <w:tab w:leader="none" w:pos="7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Duty</w:t>
      </w:r>
      <w:r>
        <w:rPr>
          <w:rFonts w:ascii="Times New Roman" w:cs="Times New Roman" w:eastAsia="Times New Roman" w:hAnsi="Times New Roman"/>
          <w:sz w:val="18"/>
          <w:szCs w:val="18"/>
          <w:color w:val="auto"/>
        </w:rPr>
        <w:t>. Nothing in this Agreement shall relieve PSCM, as investment adviser to PSH, of its fiduciary duties owed to PSH under the Investment Advisers Act of 1940, or otherwise restrict PSH from disposing or transferring the Subject Shares it holds (including, for the avoidance of doubt, a full disposition of the Subject Shares that would result in a termination of the Proxy).</w:t>
      </w:r>
    </w:p>
    <w:p>
      <w:pPr>
        <w:spacing w:after="0" w:line="176" w:lineRule="exact"/>
        <w:rPr>
          <w:rFonts w:ascii="Times New Roman" w:cs="Times New Roman" w:eastAsia="Times New Roman" w:hAnsi="Times New Roman"/>
          <w:sz w:val="18"/>
          <w:szCs w:val="18"/>
          <w:color w:val="auto"/>
        </w:rPr>
      </w:pPr>
    </w:p>
    <w:p>
      <w:pPr>
        <w:ind w:left="-500" w:right="620" w:firstLine="652"/>
        <w:spacing w:after="0" w:line="264" w:lineRule="auto"/>
        <w:tabs>
          <w:tab w:leader="none" w:pos="7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set forth herein, each Party will take all reasonable actions and make all reasonable efforts, and will execute and deliver all such further documents, certificates and instruments, including those that may be required by the Governing Documents, in order to effectuate the Proxy.</w:t>
      </w:r>
    </w:p>
    <w:p>
      <w:pPr>
        <w:spacing w:after="0" w:line="176" w:lineRule="exact"/>
        <w:rPr>
          <w:rFonts w:ascii="Times New Roman" w:cs="Times New Roman" w:eastAsia="Times New Roman" w:hAnsi="Times New Roman"/>
          <w:sz w:val="18"/>
          <w:szCs w:val="18"/>
          <w:color w:val="auto"/>
        </w:rPr>
      </w:pPr>
    </w:p>
    <w:p>
      <w:pPr>
        <w:ind w:left="-500" w:right="320" w:firstLine="652"/>
        <w:spacing w:after="0" w:line="256" w:lineRule="auto"/>
        <w:tabs>
          <w:tab w:leader="none" w:pos="7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xml:space="preserve">. This Agreement shall not be assignable by Parent, by operation of law or otherwise, without the consent of PSCM and PSH (such consent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prohibit the assignment and assumption of this Agreement by Parent to its successors. This Agreement shall not be assignable by PSCM, PSH or any Blocker, by operation of law or otherwise, without Parent’s consent. This Agreement shall inure to the benefit of and be binding upon the successors and permitted assigns of each of the Parties.</w:t>
      </w:r>
    </w:p>
    <w:p>
      <w:pPr>
        <w:sectPr>
          <w:pgSz w:w="11900" w:h="16838" w:orient="portrait"/>
          <w:cols w:equalWidth="0" w:num="1">
            <w:col w:w="10720"/>
          </w:cols>
          <w:pgMar w:left="820" w:top="269" w:right="359" w:bottom="1440" w:gutter="0" w:footer="0" w:header="0"/>
        </w:sectPr>
      </w:pPr>
    </w:p>
    <w:bookmarkStart w:id="158" w:name="page159"/>
    <w:bookmarkEnd w:id="158"/>
    <w:p>
      <w:pPr>
        <w:ind w:left="-40" w:right="220" w:firstLine="652"/>
        <w:spacing w:after="0" w:line="282" w:lineRule="auto"/>
        <w:tabs>
          <w:tab w:leader="none" w:pos="12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provision of this Agreement may be amended or waived unless such amendment or waiver is in writing and signed by the Parties.</w:t>
      </w:r>
    </w:p>
    <w:p>
      <w:pPr>
        <w:spacing w:after="0" w:line="160" w:lineRule="exact"/>
        <w:rPr>
          <w:rFonts w:ascii="Times New Roman" w:cs="Times New Roman" w:eastAsia="Times New Roman" w:hAnsi="Times New Roman"/>
          <w:sz w:val="18"/>
          <w:szCs w:val="18"/>
          <w:color w:val="auto"/>
        </w:rPr>
      </w:pPr>
    </w:p>
    <w:p>
      <w:pPr>
        <w:ind w:left="-40" w:firstLine="652"/>
        <w:spacing w:after="0" w:line="256" w:lineRule="auto"/>
        <w:tabs>
          <w:tab w:leader="none" w:pos="12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of the provisions contained in this Agreement is distinct and severable and a declaration of invalidity or unenforceability of any such provision or part thereof by a court of competent jurisdiction will not affect the validity or enforceability of any other provision hereof. To the extent permitted by applicable law, the Parties waive any provision of law which renders any provision of this Agreement invalid or unenforceable in any respect. The Parties will engage in good faith negotiations to replace any provision which is declared invalid or unenforceable with a valid and enforceable provision, the effect of which comes as close as possible to that of the invalid or unenforceable provision which it replaces.</w:t>
      </w:r>
    </w:p>
    <w:p>
      <w:pPr>
        <w:spacing w:after="0" w:line="185" w:lineRule="exact"/>
        <w:rPr>
          <w:rFonts w:ascii="Times New Roman" w:cs="Times New Roman" w:eastAsia="Times New Roman" w:hAnsi="Times New Roman"/>
          <w:sz w:val="18"/>
          <w:szCs w:val="18"/>
          <w:color w:val="auto"/>
        </w:rPr>
      </w:pPr>
    </w:p>
    <w:p>
      <w:pPr>
        <w:ind w:left="-40" w:firstLine="652"/>
        <w:spacing w:after="0" w:line="287" w:lineRule="auto"/>
        <w:tabs>
          <w:tab w:leader="none" w:pos="125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WILL BE GOVERNED BY AND CONSTRUED IN ACCORDANCE WITH THE INTERNAL LAWS OF THE STATE OF DELAWARE. EACH OF THE PARTIES HEREBY IRREVOCABLY SUBMITS TO THE JURISDICTION OF, AND VENUE IN, ANY STATE OR FEDERAL COURT LOCATED IN DELAWARE AND WAIVES ANY OBJECTION BASED ON FORUM NON CONVENIENS.</w:t>
      </w:r>
    </w:p>
    <w:p>
      <w:pPr>
        <w:spacing w:after="0" w:line="158" w:lineRule="exact"/>
        <w:rPr>
          <w:rFonts w:ascii="Times New Roman" w:cs="Times New Roman" w:eastAsia="Times New Roman" w:hAnsi="Times New Roman"/>
          <w:sz w:val="17"/>
          <w:szCs w:val="17"/>
          <w:color w:val="auto"/>
        </w:rPr>
      </w:pPr>
    </w:p>
    <w:p>
      <w:pPr>
        <w:ind w:left="-40" w:right="160" w:firstLine="652"/>
        <w:spacing w:after="0" w:line="259" w:lineRule="auto"/>
        <w:tabs>
          <w:tab w:leader="none" w:pos="12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Remedies</w:t>
      </w:r>
      <w:r>
        <w:rPr>
          <w:rFonts w:ascii="Times New Roman" w:cs="Times New Roman" w:eastAsia="Times New Roman" w:hAnsi="Times New Roman"/>
          <w:sz w:val="18"/>
          <w:szCs w:val="18"/>
          <w:color w:val="auto"/>
        </w:rPr>
        <w:t>. The Parties agree that irreparable damage would occur in the event that any provisions of this Agreement were not performed in accordance with their specific terms. It is accordingly agreed that each of the Parties shall be entitled to an injunction or injunctions (without necessity of proving damages or posting a bond or other security) to prevent breaches of this Agreement, and to enforce specifically the terms and provisions of this Agreement, in addition to any other applicable remedies at law or equity.</w:t>
      </w:r>
    </w:p>
    <w:p>
      <w:pPr>
        <w:spacing w:after="0" w:line="181" w:lineRule="exact"/>
        <w:rPr>
          <w:rFonts w:ascii="Times New Roman" w:cs="Times New Roman" w:eastAsia="Times New Roman" w:hAnsi="Times New Roman"/>
          <w:sz w:val="18"/>
          <w:szCs w:val="18"/>
          <w:color w:val="auto"/>
        </w:rPr>
      </w:pPr>
    </w:p>
    <w:p>
      <w:pPr>
        <w:ind w:left="-40" w:right="20" w:firstLine="652"/>
        <w:spacing w:after="0" w:line="254" w:lineRule="auto"/>
        <w:tabs>
          <w:tab w:leader="none" w:pos="12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WHICH MAY ARISE UNDER THIS AGREEMENT IS LIKELY TO INVOLVE COMPLICATED AND DIFFICULT ISSUES AND, THEREFORE, EACH SUCH PARTY IRREVOCABLY AND UNCONDITIONALLY WAIVES ANY RIGHT IT MAY HAVE TO A TRIAL BY JURY IN RESPECT OF ANY ACTIONS, SUITS, DEMAND LETTERS, JUDICIAL, ADMINISTRATIVE OR REGULATORY PROCEEDINGS, OR HEARINGS, NOTICES OF VIOLATION OR INVESTIGATIONS ARISING OUT OF OR RELATING TO THIS AGREEMENT. EACH PARTY TO THIS AGREEMENT CERTIFIES AND ACKNOWLEDGES THAT (A) SUCH PARTY HAS CONSIDERED THE IMPLICATIONS OF THIS WAIVER AND (B) SUCH PARTY MAKES THIS WAIVER VOLUNTARILY.</w:t>
      </w:r>
    </w:p>
    <w:p>
      <w:pPr>
        <w:spacing w:after="0" w:line="186" w:lineRule="exact"/>
        <w:rPr>
          <w:rFonts w:ascii="Times New Roman" w:cs="Times New Roman" w:eastAsia="Times New Roman" w:hAnsi="Times New Roman"/>
          <w:sz w:val="18"/>
          <w:szCs w:val="18"/>
          <w:color w:val="auto"/>
        </w:rPr>
      </w:pPr>
    </w:p>
    <w:p>
      <w:pPr>
        <w:ind w:left="-40" w:right="200" w:firstLine="652"/>
        <w:spacing w:after="0" w:line="264" w:lineRule="auto"/>
        <w:tabs>
          <w:tab w:leader="none" w:pos="125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For the convenience of the Parties, this Agreement may be executed in any number of separate counterparts, each such counterpart being deemed to be an original instrument, and all such counterparts will together constitute the same agreement. Executed signature pages to this Agreement may be delivered by email and such emails will be deemed as sufficient as if actual signature pages had been delivered.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rest of this page is intentionally left blank.</w:t>
      </w:r>
    </w:p>
    <w:p>
      <w:pPr>
        <w:spacing w:after="0" w:line="25" w:lineRule="exact"/>
        <w:rPr>
          <w:sz w:val="20"/>
          <w:szCs w:val="20"/>
          <w:color w:val="auto"/>
        </w:rPr>
      </w:pPr>
    </w:p>
    <w:p>
      <w:pPr>
        <w:ind w:left="4080"/>
        <w:spacing w:after="0"/>
        <w:tabs>
          <w:tab w:leader="none" w:pos="5340" w:val="left"/>
          <w:tab w:leader="none" w:pos="6620" w:val="left"/>
        </w:tabs>
        <w:rPr>
          <w:sz w:val="20"/>
          <w:szCs w:val="20"/>
          <w:color w:val="auto"/>
        </w:rPr>
      </w:pP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w:t>
      </w:r>
    </w:p>
    <w:p>
      <w:pPr>
        <w:sectPr>
          <w:pgSz w:w="11900" w:h="16838" w:orient="portrait"/>
          <w:cols w:equalWidth="0" w:num="1">
            <w:col w:w="11180"/>
          </w:cols>
          <w:pgMar w:left="360" w:top="267" w:right="359" w:bottom="1440" w:gutter="0" w:footer="0" w:header="0"/>
        </w:sectPr>
      </w:pPr>
    </w:p>
    <w:bookmarkStart w:id="159" w:name="page160"/>
    <w:bookmarkEnd w:id="159"/>
    <w:p>
      <w:pPr>
        <w:ind w:left="180"/>
        <w:spacing w:after="0"/>
        <w:rPr>
          <w:sz w:val="20"/>
          <w:szCs w:val="20"/>
          <w:color w:val="auto"/>
        </w:rPr>
      </w:pPr>
      <w:r>
        <w:rPr>
          <w:rFonts w:ascii="Times New Roman" w:cs="Times New Roman" w:eastAsia="Times New Roman" w:hAnsi="Times New Roman"/>
          <w:sz w:val="17"/>
          <w:szCs w:val="17"/>
          <w:color w:val="0C0C0C"/>
        </w:rPr>
        <w:t xml:space="preserve">IN </w:t>
      </w:r>
      <w:r>
        <w:rPr>
          <w:rFonts w:ascii="Times New Roman" w:cs="Times New Roman" w:eastAsia="Times New Roman" w:hAnsi="Times New Roman"/>
          <w:sz w:val="17"/>
          <w:szCs w:val="17"/>
          <w:color w:val="000000"/>
        </w:rPr>
        <w:t>WITNESS</w:t>
      </w:r>
      <w:r>
        <w:rPr>
          <w:rFonts w:ascii="Times New Roman" w:cs="Times New Roman" w:eastAsia="Times New Roman" w:hAnsi="Times New Roman"/>
          <w:sz w:val="17"/>
          <w:szCs w:val="17"/>
          <w:color w:val="0C0C0C"/>
        </w:rPr>
        <w:t xml:space="preserve"> WHEREOF the Parties hereto have caused this Agreement to be executed as of the date first set forth above.</w:t>
      </w:r>
    </w:p>
    <w:p>
      <w:pPr>
        <w:spacing w:after="0" w:line="2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231F20"/>
        </w:rPr>
        <w:t>PERSHING SQUARE INC.</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William A. 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William A. Ackman</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231F20"/>
        </w:rPr>
        <w:t>PERSHING SQUARE CAPITAL MANAGEMENT, L.P.</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William A. 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William A. Ackman</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231F20"/>
        </w:rPr>
        <w:t>PERSHING SQUARE HOLDINGS, LTD.</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PSH HHH PREFERRED HOLDING I, LTD.</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PSH HHH PREFERRED HOLDING II, LTD.</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Signature Page to Voting Proxy Agreement</w:t>
      </w:r>
      <w:r>
        <w:rPr>
          <w:rFonts w:ascii="Times New Roman" w:cs="Times New Roman" w:eastAsia="Times New Roman" w:hAnsi="Times New Roman"/>
          <w:sz w:val="18"/>
          <w:szCs w:val="18"/>
          <w:color w:val="231F20"/>
        </w:rPr>
        <w:t>]</w:t>
      </w:r>
    </w:p>
    <w:p>
      <w:pPr>
        <w:sectPr>
          <w:pgSz w:w="11900" w:h="16838" w:orient="portrait"/>
          <w:cols w:equalWidth="0" w:num="1">
            <w:col w:w="9019"/>
          </w:cols>
          <w:pgMar w:left="1440" w:top="269" w:right="1440" w:bottom="1440" w:gutter="0" w:footer="0" w:header="0"/>
        </w:sectPr>
      </w:pPr>
    </w:p>
    <w:bookmarkStart w:id="160" w:name="page161"/>
    <w:bookmarkEnd w:id="160"/>
    <w:p>
      <w:pPr>
        <w:ind w:left="4460"/>
        <w:spacing w:after="0"/>
        <w:rPr>
          <w:sz w:val="20"/>
          <w:szCs w:val="20"/>
          <w:color w:val="auto"/>
        </w:rPr>
      </w:pPr>
      <w:r>
        <w:rPr>
          <w:rFonts w:ascii="Times New Roman" w:cs="Times New Roman" w:eastAsia="Times New Roman" w:hAnsi="Times New Roman"/>
          <w:sz w:val="18"/>
          <w:szCs w:val="18"/>
          <w:b w:val="1"/>
          <w:bCs w:val="1"/>
          <w:color w:val="auto"/>
        </w:rPr>
        <w:t>PSH HHH PREFERRED HOLDING III, LTD.</w:t>
      </w:r>
    </w:p>
    <w:p>
      <w:pPr>
        <w:spacing w:after="0" w:line="227" w:lineRule="exact"/>
        <w:rPr>
          <w:sz w:val="20"/>
          <w:szCs w:val="20"/>
          <w:color w:val="auto"/>
        </w:rPr>
      </w:pPr>
    </w:p>
    <w:p>
      <w:pPr>
        <w:ind w:left="4460"/>
        <w:spacing w:after="0"/>
        <w:tabs>
          <w:tab w:leader="none" w:pos="488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16510</wp:posOffset>
            </wp:positionV>
            <wp:extent cx="32848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84855" cy="8255"/>
                    </a:xfrm>
                    <a:prstGeom prst="rect">
                      <a:avLst/>
                    </a:prstGeom>
                    <a:noFill/>
                  </pic:spPr>
                </pic:pic>
              </a:graphicData>
            </a:graphic>
          </wp:anchor>
        </w:drawing>
      </w:r>
    </w:p>
    <w:p>
      <w:pPr>
        <w:spacing w:after="0" w:line="7" w:lineRule="exact"/>
        <w:rPr>
          <w:sz w:val="20"/>
          <w:szCs w:val="20"/>
          <w:color w:val="auto"/>
        </w:rPr>
      </w:pPr>
    </w:p>
    <w:p>
      <w:pPr>
        <w:ind w:left="4820"/>
        <w:spacing w:after="0"/>
        <w:tabs>
          <w:tab w:leader="none" w:pos="546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20"/>
        <w:spacing w:after="0"/>
        <w:tabs>
          <w:tab w:leader="none" w:pos="5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PSH HHH PREFERRED HOLDING IV, LTD.</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PSH HHH PREFERRED HOLDING V, LTD.</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PSH HHH PREFERRED HOLDING VI, LTD.</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PSH HHH PREFERRED HOLDING VII, LTD.</w:t>
      </w:r>
    </w:p>
    <w:p>
      <w:pPr>
        <w:spacing w:after="0" w:line="238"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i w:val="1"/>
          <w:iCs w:val="1"/>
          <w:color w:val="231F20"/>
        </w:rPr>
        <w:t>Signature Page to Voting Proxy Agreement</w:t>
      </w:r>
      <w:r>
        <w:rPr>
          <w:rFonts w:ascii="Times New Roman" w:cs="Times New Roman" w:eastAsia="Times New Roman" w:hAnsi="Times New Roman"/>
          <w:sz w:val="17"/>
          <w:szCs w:val="17"/>
          <w:color w:val="231F20"/>
        </w:rPr>
        <w:t>]</w:t>
      </w:r>
    </w:p>
    <w:p>
      <w:pPr>
        <w:sectPr>
          <w:pgSz w:w="11900" w:h="16838" w:orient="portrait"/>
          <w:cols w:equalWidth="0" w:num="1">
            <w:col w:w="9019"/>
          </w:cols>
          <w:pgMar w:left="1440" w:top="507" w:right="1440" w:bottom="1440" w:gutter="0" w:footer="0" w:header="0"/>
        </w:sectPr>
      </w:pPr>
    </w:p>
    <w:bookmarkStart w:id="161" w:name="page162"/>
    <w:bookmarkEnd w:id="161"/>
    <w:p>
      <w:pPr>
        <w:ind w:left="4520"/>
        <w:spacing w:after="0"/>
        <w:rPr>
          <w:sz w:val="20"/>
          <w:szCs w:val="20"/>
          <w:color w:val="auto"/>
        </w:rPr>
      </w:pPr>
      <w:r>
        <w:rPr>
          <w:rFonts w:ascii="Times New Roman" w:cs="Times New Roman" w:eastAsia="Times New Roman" w:hAnsi="Times New Roman"/>
          <w:sz w:val="17"/>
          <w:szCs w:val="17"/>
          <w:b w:val="1"/>
          <w:bCs w:val="1"/>
          <w:color w:val="auto"/>
        </w:rPr>
        <w:t>PSH HHH PREFERRED HOLDING VIII, LTD.</w:t>
      </w:r>
    </w:p>
    <w:p>
      <w:pPr>
        <w:spacing w:after="0" w:line="238"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PSH HHH PREFERRED HOLDING IX, LTD.</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PSH HHH PREFERRED HOLDING X, LTD.</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PSH HHH PREFERRED HOLDING XI, LTD.</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PSH HHH PREFERRED HOLDING XII, LTD.</w:t>
      </w:r>
    </w:p>
    <w:p>
      <w:pPr>
        <w:spacing w:after="0" w:line="227"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i w:val="1"/>
          <w:iCs w:val="1"/>
          <w:color w:val="231F20"/>
        </w:rPr>
        <w:t>Signature Page to Voting Proxy Agreement</w:t>
      </w:r>
      <w:r>
        <w:rPr>
          <w:rFonts w:ascii="Times New Roman" w:cs="Times New Roman" w:eastAsia="Times New Roman" w:hAnsi="Times New Roman"/>
          <w:sz w:val="17"/>
          <w:szCs w:val="17"/>
          <w:color w:val="231F20"/>
        </w:rPr>
        <w:t>]</w:t>
      </w:r>
    </w:p>
    <w:p>
      <w:pPr>
        <w:sectPr>
          <w:pgSz w:w="11900" w:h="16838" w:orient="portrait"/>
          <w:cols w:equalWidth="0" w:num="1">
            <w:col w:w="9019"/>
          </w:cols>
          <w:pgMar w:left="1440" w:top="507" w:right="1440" w:bottom="1440" w:gutter="0" w:footer="0" w:header="0"/>
        </w:sectPr>
      </w:pPr>
    </w:p>
    <w:bookmarkStart w:id="162" w:name="page163"/>
    <w:bookmarkEnd w:id="162"/>
    <w:p>
      <w:pPr>
        <w:ind w:left="4520"/>
        <w:spacing w:after="0"/>
        <w:rPr>
          <w:sz w:val="20"/>
          <w:szCs w:val="20"/>
          <w:color w:val="auto"/>
        </w:rPr>
      </w:pPr>
      <w:r>
        <w:rPr>
          <w:rFonts w:ascii="Times New Roman" w:cs="Times New Roman" w:eastAsia="Times New Roman" w:hAnsi="Times New Roman"/>
          <w:sz w:val="17"/>
          <w:szCs w:val="17"/>
          <w:b w:val="1"/>
          <w:bCs w:val="1"/>
          <w:color w:val="auto"/>
        </w:rPr>
        <w:t>PSH HHH PREFERRED HOLDING XIII, LTD.</w:t>
      </w:r>
    </w:p>
    <w:p>
      <w:pPr>
        <w:spacing w:after="0" w:line="238"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PSH HHH PREFERRED HOLDING XIV, LTD.</w:t>
      </w:r>
    </w:p>
    <w:p>
      <w:pPr>
        <w:spacing w:after="0" w:line="238"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Rupert Morley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16510</wp:posOffset>
            </wp:positionV>
            <wp:extent cx="33274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tab/>
        <w:t>Rupert Morley</w:t>
      </w:r>
    </w:p>
    <w:p>
      <w:pPr>
        <w:spacing w:after="0" w:line="21"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i w:val="1"/>
          <w:iCs w:val="1"/>
          <w:color w:val="231F20"/>
        </w:rPr>
        <w:t>Signature Page to Voting Proxy Agreement</w:t>
      </w:r>
      <w:r>
        <w:rPr>
          <w:rFonts w:ascii="Times New Roman" w:cs="Times New Roman" w:eastAsia="Times New Roman" w:hAnsi="Times New Roman"/>
          <w:sz w:val="17"/>
          <w:szCs w:val="17"/>
          <w:color w:val="231F20"/>
        </w:rPr>
        <w:t>]</w:t>
      </w:r>
    </w:p>
    <w:p>
      <w:pPr>
        <w:sectPr>
          <w:pgSz w:w="11900" w:h="16838" w:orient="portrait"/>
          <w:cols w:equalWidth="0" w:num="1">
            <w:col w:w="9019"/>
          </w:cols>
          <w:pgMar w:left="1440" w:top="292" w:right="1440" w:bottom="1440" w:gutter="0" w:footer="0" w:header="0"/>
        </w:sectPr>
      </w:pPr>
    </w:p>
    <w:bookmarkStart w:id="163" w:name="page164"/>
    <w:bookmarkEnd w:id="163"/>
    <w:p>
      <w:pPr>
        <w:jc w:val="right"/>
        <w:ind w:right="41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7" w:lineRule="exact"/>
        <w:rPr>
          <w:sz w:val="20"/>
          <w:szCs w:val="20"/>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I,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II,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III,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IV,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V,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VI,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VII,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VIII,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IX,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X,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XI,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XII,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XIII, Ltd.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PSH HHH Preferred Holding XIV,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366395</wp:posOffset>
            </wp:positionV>
            <wp:extent cx="71329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sectPr>
      <w:pgSz w:w="11900" w:h="16838" w:orient="portrait"/>
      <w:cols w:equalWidth="0" w:num="1">
        <w:col w:w="10139"/>
      </w:cols>
      <w:pgMar w:left="3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37B8DDC"/>
    <w:multiLevelType w:val="hybridMultilevel"/>
    <w:lvl w:ilvl="0">
      <w:lvlJc w:val="left"/>
      <w:lvlText w:val="2"/>
      <w:numFmt w:val="bullet"/>
      <w:start w:val="1"/>
    </w:lvl>
  </w:abstractNum>
  <w:abstractNum w:abstractNumId="1">
    <w:nsid w:val="6CEAF087"/>
    <w:multiLevelType w:val="hybridMultilevel"/>
    <w:lvl w:ilvl="0">
      <w:lvlJc w:val="left"/>
      <w:lvlText w:val="2"/>
      <w:numFmt w:val="bullet"/>
      <w:start w:val="1"/>
    </w:lvl>
  </w:abstractNum>
  <w:abstractNum w:abstractNumId="2">
    <w:nsid w:val="22221A70"/>
    <w:multiLevelType w:val="hybridMultilevel"/>
    <w:lvl w:ilvl="0">
      <w:lvlJc w:val="left"/>
      <w:lvlText w:val="3"/>
      <w:numFmt w:val="bullet"/>
      <w:start w:val="1"/>
    </w:lvl>
  </w:abstractNum>
  <w:abstractNum w:abstractNumId="3">
    <w:nsid w:val="4516DDE9"/>
    <w:multiLevelType w:val="hybridMultilevel"/>
    <w:lvl w:ilvl="0">
      <w:lvlJc w:val="left"/>
      <w:lvlText w:val="6"/>
      <w:numFmt w:val="bullet"/>
      <w:start w:val="1"/>
    </w:lvl>
  </w:abstractNum>
  <w:abstractNum w:abstractNumId="4">
    <w:nsid w:val="3006C83E"/>
    <w:multiLevelType w:val="hybridMultilevel"/>
    <w:lvl w:ilvl="0">
      <w:lvlJc w:val="left"/>
      <w:lvlText w:val="2"/>
      <w:numFmt w:val="bullet"/>
      <w:start w:val="1"/>
    </w:lvl>
  </w:abstractNum>
  <w:abstractNum w:abstractNumId="5">
    <w:nsid w:val="614FD4A1"/>
    <w:multiLevelType w:val="hybridMultilevel"/>
    <w:lvl w:ilvl="0">
      <w:lvlJc w:val="left"/>
      <w:lvlText w:val="3"/>
      <w:numFmt w:val="bullet"/>
      <w:start w:val="1"/>
    </w:lvl>
  </w:abstractNum>
  <w:abstractNum w:abstractNumId="6">
    <w:nsid w:val="419AC241"/>
    <w:multiLevelType w:val="hybridMultilevel"/>
    <w:lvl w:ilvl="0">
      <w:lvlJc w:val="left"/>
      <w:lvlText w:val="2"/>
      <w:numFmt w:val="bullet"/>
      <w:start w:val="1"/>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lowerLetter"/>
      <w:start w:val="4"/>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1"/>
      <w:numFmt w:val="upperLetter"/>
      <w:start w:val="60"/>
    </w:lvl>
  </w:abstractNum>
  <w:abstractNum w:abstractNumId="11">
    <w:nsid w:val="77465F01"/>
    <w:multiLevelType w:val="hybridMultilevel"/>
    <w:lvl w:ilvl="0">
      <w:lvlJc w:val="left"/>
      <w:lvlText w:val="(%1)"/>
      <w:numFmt w:val="lowerRoman"/>
      <w:start w:val="3"/>
    </w:lvl>
  </w:abstractNum>
  <w:abstractNum w:abstractNumId="12">
    <w:nsid w:val="7724C67E"/>
    <w:multiLevelType w:val="hybridMultilevel"/>
    <w:lvl w:ilvl="0">
      <w:lvlJc w:val="left"/>
      <w:lvlText w:val="(%1)"/>
      <w:numFmt w:val="upperLetter"/>
      <w:start w:val="9"/>
    </w:lvl>
  </w:abstractNum>
  <w:abstractNum w:abstractNumId="13">
    <w:nsid w:val="5C482A97"/>
    <w:multiLevelType w:val="hybridMultilevel"/>
    <w:lvl w:ilvl="0">
      <w:lvlJc w:val="left"/>
      <w:lvlText w:val="(%1)"/>
      <w:numFmt w:val="upperLetter"/>
      <w:start w:val="2"/>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lowerRoman"/>
      <w:start w:val="10"/>
    </w:lvl>
  </w:abstractNum>
  <w:abstractNum w:abstractNumId="16">
    <w:nsid w:val="51EAD36B"/>
    <w:multiLevelType w:val="hybridMultilevel"/>
    <w:lvl w:ilvl="0">
      <w:lvlJc w:val="left"/>
      <w:lvlText w:val="(%1)"/>
      <w:numFmt w:val="upperLetter"/>
      <w:start w:val="1"/>
    </w:lvl>
  </w:abstractNum>
  <w:abstractNum w:abstractNumId="17">
    <w:nsid w:val="2D517796"/>
    <w:multiLevelType w:val="hybridMultilevel"/>
    <w:lvl w:ilvl="0">
      <w:lvlJc w:val="left"/>
      <w:lvlText w:val="(%1)"/>
      <w:numFmt w:val="upperLetter"/>
      <w:start w:val="4"/>
    </w:lvl>
  </w:abstractNum>
  <w:abstractNum w:abstractNumId="18">
    <w:nsid w:val="580BD78F"/>
    <w:multiLevelType w:val="hybridMultilevel"/>
    <w:lvl w:ilvl="0">
      <w:lvlJc w:val="left"/>
      <w:lvlText w:val="(%1)"/>
      <w:numFmt w:val="lowerRoman"/>
      <w:start w:val="3"/>
    </w:lvl>
  </w:abstractNum>
  <w:abstractNum w:abstractNumId="19">
    <w:nsid w:val="153EA438"/>
    <w:multiLevelType w:val="hybridMultilevel"/>
    <w:lvl w:ilvl="0">
      <w:lvlJc w:val="left"/>
      <w:lvlText w:val="(%1)"/>
      <w:numFmt w:val="decimal"/>
      <w:start w:val="30"/>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lowerLetter"/>
      <w:start w:val="24"/>
    </w:lvl>
  </w:abstractNum>
  <w:abstractNum w:abstractNumId="23">
    <w:nsid w:val="2A487CB0"/>
    <w:multiLevelType w:val="hybridMultilevel"/>
    <w:lvl w:ilvl="0">
      <w:lvlJc w:val="left"/>
      <w:lvlText w:val="(%1)"/>
      <w:numFmt w:val="lowerLetter"/>
      <w:start w:val="7"/>
    </w:lvl>
  </w:abstractNum>
  <w:abstractNum w:abstractNumId="24">
    <w:nsid w:val="1D4ED43B"/>
    <w:multiLevelType w:val="hybridMultilevel"/>
    <w:lvl w:ilvl="0">
      <w:lvlJc w:val="left"/>
      <w:lvlText w:val="(%1)"/>
      <w:numFmt w:val="lowerRoman"/>
      <w:start w:val="1"/>
    </w:lvl>
  </w:abstractNum>
  <w:abstractNum w:abstractNumId="25">
    <w:nsid w:val="725A06FB"/>
    <w:multiLevelType w:val="hybridMultilevel"/>
    <w:lvl w:ilvl="0">
      <w:lvlJc w:val="left"/>
      <w:lvlText w:val="(%1)"/>
      <w:numFmt w:val="lowerRoman"/>
      <w:start w:val="2"/>
    </w:lvl>
  </w:abstractNum>
  <w:abstractNum w:abstractNumId="26">
    <w:nsid w:val="2CD89A32"/>
    <w:multiLevelType w:val="hybridMultilevel"/>
    <w:lvl w:ilvl="0">
      <w:lvlJc w:val="left"/>
      <w:lvlText w:val="(%1)"/>
      <w:numFmt w:val="lowerRoman"/>
      <w:start w:val="3"/>
    </w:lvl>
  </w:abstractNum>
  <w:abstractNum w:abstractNumId="27">
    <w:nsid w:val="57E4CCAF"/>
    <w:multiLevelType w:val="hybridMultilevel"/>
    <w:lvl w:ilvl="0">
      <w:lvlJc w:val="left"/>
      <w:lvlText w:val="(%1)"/>
      <w:numFmt w:val="lowerRoman"/>
      <w:start w:val="1"/>
    </w:lvl>
  </w:abstractNum>
  <w:abstractNum w:abstractNumId="28">
    <w:nsid w:val="7A6D8D3C"/>
    <w:multiLevelType w:val="hybridMultilevel"/>
    <w:lvl w:ilvl="0">
      <w:lvlJc w:val="left"/>
      <w:lvlText w:val="(%1)"/>
      <w:numFmt w:val="lowerRoman"/>
      <w:start w:val="2"/>
    </w:lvl>
  </w:abstractNum>
  <w:abstractNum w:abstractNumId="29">
    <w:nsid w:val="4B588F54"/>
    <w:multiLevelType w:val="hybridMultilevel"/>
    <w:lvl w:ilvl="0">
      <w:lvlJc w:val="left"/>
      <w:lvlText w:val="(%1)"/>
      <w:numFmt w:val="lowerRoman"/>
      <w:start w:val="3"/>
    </w:lvl>
  </w:abstractNum>
  <w:abstractNum w:abstractNumId="30">
    <w:nsid w:val="542289EC"/>
    <w:multiLevelType w:val="hybridMultilevel"/>
    <w:lvl w:ilvl="0">
      <w:lvlJc w:val="left"/>
      <w:lvlText w:val="(%1)"/>
      <w:numFmt w:val="lowerRoman"/>
      <w:start w:val="4"/>
    </w:lvl>
  </w:abstractNum>
  <w:abstractNum w:abstractNumId="31">
    <w:nsid w:val="6DE91B18"/>
    <w:multiLevelType w:val="hybridMultilevel"/>
    <w:lvl w:ilvl="0">
      <w:lvlJc w:val="left"/>
      <w:lvlText w:val="(%1)"/>
      <w:numFmt w:val="lowerRoman"/>
      <w:start w:val="1"/>
    </w:lvl>
  </w:abstractNum>
  <w:abstractNum w:abstractNumId="32">
    <w:nsid w:val="38437FDB"/>
    <w:multiLevelType w:val="hybridMultilevel"/>
    <w:lvl w:ilvl="0">
      <w:lvlJc w:val="left"/>
      <w:lvlText w:val="(%1)"/>
      <w:numFmt w:val="lowerRoman"/>
      <w:start w:val="2"/>
    </w:lvl>
  </w:abstractNum>
  <w:abstractNum w:abstractNumId="33">
    <w:nsid w:val="7644A45C"/>
    <w:multiLevelType w:val="hybridMultilevel"/>
    <w:lvl w:ilvl="0">
      <w:lvlJc w:val="left"/>
      <w:lvlText w:val="(%1)"/>
      <w:numFmt w:val="lowerRoman"/>
      <w:start w:val="3"/>
    </w:lvl>
  </w:abstractNum>
  <w:abstractNum w:abstractNumId="34">
    <w:nsid w:val="32FFF902"/>
    <w:multiLevelType w:val="hybridMultilevel"/>
    <w:lvl w:ilvl="0">
      <w:lvlJc w:val="left"/>
      <w:lvlText w:val="(%1)"/>
      <w:numFmt w:val="lowerRoman"/>
      <w:start w:val="4"/>
    </w:lvl>
  </w:abstractNum>
  <w:abstractNum w:abstractNumId="35">
    <w:nsid w:val="684A481A"/>
    <w:multiLevelType w:val="hybridMultilevel"/>
    <w:lvl w:ilvl="0">
      <w:lvlJc w:val="left"/>
      <w:lvlText w:val="(%1)"/>
      <w:numFmt w:val="lowerRoman"/>
      <w:start w:val="5"/>
    </w:lvl>
  </w:abstractNum>
  <w:abstractNum w:abstractNumId="36">
    <w:nsid w:val="579478FE"/>
    <w:multiLevelType w:val="hybridMultilevel"/>
    <w:lvl w:ilvl="0">
      <w:lvlJc w:val="left"/>
      <w:lvlText w:val="(%1)"/>
      <w:numFmt w:val="lowerRoman"/>
      <w:start w:val="1"/>
    </w:lvl>
  </w:abstractNum>
  <w:abstractNum w:abstractNumId="37">
    <w:nsid w:val="749ABB43"/>
    <w:multiLevelType w:val="hybridMultilevel"/>
    <w:lvl w:ilvl="0">
      <w:lvlJc w:val="left"/>
      <w:lvlText w:val="(%1)"/>
      <w:numFmt w:val="lowerRoman"/>
      <w:start w:val="2"/>
    </w:lvl>
  </w:abstractNum>
  <w:abstractNum w:abstractNumId="38">
    <w:nsid w:val="3DC240FB"/>
    <w:multiLevelType w:val="hybridMultilevel"/>
    <w:lvl w:ilvl="0">
      <w:lvlJc w:val="left"/>
      <w:lvlText w:val=" "/>
      <w:numFmt w:val="bullet"/>
      <w:start w:val="1"/>
    </w:lvl>
  </w:abstractNum>
  <w:abstractNum w:abstractNumId="39">
    <w:nsid w:val="1BA026FA"/>
    <w:multiLevelType w:val="hybridMultilevel"/>
    <w:lvl w:ilvl="0">
      <w:lvlJc w:val="left"/>
      <w:lvlText w:val=" "/>
      <w:numFmt w:val="bullet"/>
      <w:start w:val="1"/>
    </w:lvl>
  </w:abstractNum>
  <w:abstractNum w:abstractNumId="40">
    <w:nsid w:val="79A1DEAA"/>
    <w:multiLevelType w:val="hybridMultilevel"/>
    <w:lvl w:ilvl="0">
      <w:lvlJc w:val="left"/>
      <w:lvlText w:val="(%1)"/>
      <w:numFmt w:val="lowerRoman"/>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lowerRoman"/>
      <w:start w:val="1"/>
    </w:lvl>
  </w:abstractNum>
  <w:abstractNum w:abstractNumId="44">
    <w:nsid w:val="520EEDD1"/>
    <w:multiLevelType w:val="hybridMultilevel"/>
    <w:lvl w:ilvl="0">
      <w:lvlJc w:val="left"/>
      <w:lvlText w:val="(%1)"/>
      <w:numFmt w:val="lowerRoman"/>
      <w:start w:val="2"/>
    </w:lvl>
  </w:abstractNum>
  <w:abstractNum w:abstractNumId="45">
    <w:nsid w:val="374A3FE6"/>
    <w:multiLevelType w:val="hybridMultilevel"/>
    <w:lvl w:ilvl="0">
      <w:lvlJc w:val="left"/>
      <w:lvlText w:val="(%1)"/>
      <w:numFmt w:val="lowerRoman"/>
      <w:start w:val="3"/>
    </w:lvl>
  </w:abstractNum>
  <w:abstractNum w:abstractNumId="46">
    <w:nsid w:val="4F4EF005"/>
    <w:multiLevelType w:val="hybridMultilevel"/>
    <w:lvl w:ilvl="0">
      <w:lvlJc w:val="left"/>
      <w:lvlText w:val="(%1)"/>
      <w:numFmt w:val="lowerRoman"/>
      <w:start w:val="1"/>
    </w:lvl>
  </w:abstractNum>
  <w:abstractNum w:abstractNumId="47">
    <w:nsid w:val="23F9C13C"/>
    <w:multiLevelType w:val="hybridMultilevel"/>
    <w:lvl w:ilvl="0">
      <w:lvlJc w:val="left"/>
      <w:lvlText w:val="(%1)"/>
      <w:numFmt w:val="lowerRoman"/>
      <w:start w:val="2"/>
    </w:lvl>
  </w:abstractNum>
  <w:abstractNum w:abstractNumId="48">
    <w:nsid w:val="649BB77C"/>
    <w:multiLevelType w:val="hybridMultilevel"/>
    <w:lvl w:ilvl="0">
      <w:lvlJc w:val="left"/>
      <w:lvlText w:val="(%1)"/>
      <w:numFmt w:val="lowerRoman"/>
      <w:start w:val="3"/>
    </w:lvl>
  </w:abstractNum>
  <w:abstractNum w:abstractNumId="49">
    <w:nsid w:val="275AC794"/>
    <w:multiLevelType w:val="hybridMultilevel"/>
    <w:lvl w:ilvl="0">
      <w:lvlJc w:val="left"/>
      <w:lvlText w:val="(%1)"/>
      <w:numFmt w:val="lowerRoman"/>
      <w:start w:val="4"/>
    </w:lvl>
  </w:abstractNum>
  <w:abstractNum w:abstractNumId="50">
    <w:nsid w:val="39386575"/>
    <w:multiLevelType w:val="hybridMultilevel"/>
    <w:lvl w:ilvl="0">
      <w:lvlJc w:val="left"/>
      <w:lvlText w:val="(%1)"/>
      <w:numFmt w:val="lowerRoman"/>
      <w:start w:val="1"/>
    </w:lvl>
  </w:abstractNum>
  <w:abstractNum w:abstractNumId="51">
    <w:nsid w:val="1CF10FD8"/>
    <w:multiLevelType w:val="hybridMultilevel"/>
    <w:lvl w:ilvl="0">
      <w:lvlJc w:val="left"/>
      <w:lvlText w:val="(%1)"/>
      <w:numFmt w:val="lowerRoman"/>
      <w:start w:val="2"/>
    </w:lvl>
  </w:abstractNum>
  <w:abstractNum w:abstractNumId="52">
    <w:nsid w:val="180115BE"/>
    <w:multiLevelType w:val="hybridMultilevel"/>
    <w:lvl w:ilvl="0">
      <w:lvlJc w:val="left"/>
      <w:lvlText w:val="(%1)"/>
      <w:numFmt w:val="lowerRoman"/>
      <w:start w:val="3"/>
    </w:lvl>
  </w:abstractNum>
  <w:abstractNum w:abstractNumId="53">
    <w:nsid w:val="235BA861"/>
    <w:multiLevelType w:val="hybridMultilevel"/>
    <w:lvl w:ilvl="0">
      <w:lvlJc w:val="left"/>
      <w:lvlText w:val="(%1)"/>
      <w:numFmt w:val="lowerRoman"/>
      <w:start w:val="4"/>
    </w:lvl>
  </w:abstractNum>
  <w:abstractNum w:abstractNumId="54">
    <w:nsid w:val="47398C89"/>
    <w:multiLevelType w:val="hybridMultilevel"/>
    <w:lvl w:ilvl="0">
      <w:lvlJc w:val="left"/>
      <w:lvlText w:val="(%1)"/>
      <w:numFmt w:val="lowerRoman"/>
      <w:start w:val="5"/>
    </w:lvl>
  </w:abstractNum>
  <w:abstractNum w:abstractNumId="55">
    <w:nsid w:val="354FE9F9"/>
    <w:multiLevelType w:val="hybridMultilevel"/>
    <w:lvl w:ilvl="0">
      <w:lvlJc w:val="left"/>
      <w:lvlText w:val="(%1)"/>
      <w:numFmt w:val="lowerRoman"/>
      <w:start w:val="1"/>
    </w:lvl>
  </w:abstractNum>
  <w:abstractNum w:abstractNumId="56">
    <w:nsid w:val="15B5AF5C"/>
    <w:multiLevelType w:val="hybridMultilevel"/>
    <w:lvl w:ilvl="0">
      <w:lvlJc w:val="left"/>
      <w:lvlText w:val="(%1)"/>
      <w:numFmt w:val="lowerRoman"/>
      <w:start w:val="2"/>
    </w:lvl>
  </w:abstractNum>
  <w:abstractNum w:abstractNumId="57">
    <w:nsid w:val="741226BB"/>
    <w:multiLevelType w:val="hybridMultilevel"/>
    <w:lvl w:ilvl="0">
      <w:lvlJc w:val="left"/>
      <w:lvlText w:val=" "/>
      <w:numFmt w:val="bullet"/>
      <w:start w:val="1"/>
    </w:lvl>
  </w:abstractNum>
  <w:abstractNum w:abstractNumId="58">
    <w:nsid w:val="D34B6A8"/>
    <w:multiLevelType w:val="hybridMultilevel"/>
    <w:lvl w:ilvl="0">
      <w:lvlJc w:val="left"/>
      <w:lvlText w:val=" "/>
      <w:numFmt w:val="bullet"/>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0">
    <w:nsid w:val="3F6AB60F"/>
    <w:multiLevelType w:val="hybridMultilevel"/>
    <w:lvl w:ilvl="0">
      <w:lvlJc w:val="left"/>
      <w:lvlText w:val="%1."/>
      <w:numFmt w:val="decimal"/>
      <w:start w:val="6"/>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2026-06-08T17:07:35Z</dcterms:created>
  <dcterms:modified xsi:type="dcterms:W3CDTF">2026-06-08T17:07:35Z</dcterms:modified>
</cp:coreProperties>
</file>