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firstLine="720"/>
        <w:jc w:val="left"/>
        <w:rPr/>
      </w:pPr>
      <w:bookmarkStart w:id="0" w:name="tm2620400d1_8ka.htm"/>
      <w:bookmarkStart w:id="1" w:name="kstm2620400d1_8ka"/>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w:t>
      </w:r>
      <w:bookmarkStart w:id="2" w:name="xdx_902_edei--DocumentType_c20260604__20"/>
      <w:bookmarkEnd w:id="2"/>
      <w:r>
        <w:rPr>
          <w:rFonts w:ascii="Times New Roman;Times;Serif" w:hAnsi="Times New Roman;Times;Serif"/>
          <w:b/>
          <w:i w:val="false"/>
          <w:caps w:val="false"/>
          <w:smallCaps w:val="false"/>
          <w:sz w:val="28"/>
        </w:rPr>
        <w:t>8-K/A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June 4,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2_edei--EntityRegistrantName_c2026"/>
      <w:bookmarkEnd w:id="4"/>
      <w:r>
        <w:rPr>
          <w:rFonts w:ascii="Times New Roman;Times;Serif" w:hAnsi="Times New Roman;Times;Serif"/>
          <w:b/>
          <w:i w:val="false"/>
          <w:caps w:val="false"/>
          <w:smallCaps w:val="false"/>
          <w:sz w:val="36"/>
        </w:rPr>
        <w:t>HOWARD HUGHES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30" w:type="dxa"/>
        <w:jc w:val="left"/>
        <w:tblInd w:w="0" w:type="dxa"/>
        <w:tblLayout w:type="fixed"/>
        <w:tblCellMar>
          <w:top w:w="0" w:type="dxa"/>
          <w:left w:w="0" w:type="dxa"/>
          <w:bottom w:w="0" w:type="dxa"/>
          <w:right w:w="0" w:type="dxa"/>
        </w:tblCellMar>
      </w:tblPr>
      <w:tblGrid>
        <w:gridCol w:w="3170"/>
        <w:gridCol w:w="60"/>
        <w:gridCol w:w="2615"/>
        <w:gridCol w:w="60"/>
        <w:gridCol w:w="2825"/>
      </w:tblGrid>
      <w:tr>
        <w:trPr/>
        <w:tc>
          <w:tcPr>
            <w:tcW w:w="3170" w:type="dxa"/>
            <w:tcBorders/>
            <w:vAlign w:val="center"/>
          </w:tcPr>
          <w:p>
            <w:pPr>
              <w:pStyle w:val="TableContents"/>
              <w:bidi w:val="0"/>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283"/>
              <w:jc w:val="center"/>
              <w:rPr/>
            </w:pPr>
            <w:r>
              <w:rPr/>
              <w:t>(State or Other Jurisdiction</w:t>
              <w:br/>
              <w:t>of Incorporation or Organization)</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jc w:val="center"/>
              <w:rPr>
                <w:rFonts w:ascii="Times New Roman;Times;Serif" w:hAnsi="Times New Roman;Times;Serif"/>
                <w:b/>
                <w:i w:val="false"/>
                <w:caps w:val="false"/>
                <w:smallCaps w:val="false"/>
                <w:sz w:val="20"/>
              </w:rPr>
            </w:pPr>
            <w:bookmarkStart w:id="6" w:name="xdx_900_edei--EntityFileNumber_c20260604"/>
            <w:bookmarkEnd w:id="6"/>
            <w:r>
              <w:rPr>
                <w:rFonts w:ascii="Times New Roman;Times;Serif" w:hAnsi="Times New Roman;Times;Serif"/>
                <w:b/>
                <w:i w:val="false"/>
                <w:caps w:val="false"/>
                <w:smallCaps w:val="false"/>
                <w:sz w:val="20"/>
              </w:rPr>
              <w:t>001-41779</w:t>
            </w:r>
          </w:p>
          <w:p>
            <w:pPr>
              <w:pStyle w:val="TableContents"/>
              <w:bidi w:val="0"/>
              <w:spacing w:before="0" w:after="283"/>
              <w:jc w:val="center"/>
              <w:rPr/>
            </w:pPr>
            <w:r>
              <w:rPr/>
              <w:t>(Commission File Number)</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93-1869991</w:t>
            </w:r>
          </w:p>
          <w:p>
            <w:pPr>
              <w:pStyle w:val="TableContents"/>
              <w:bidi w:val="0"/>
              <w:spacing w:before="0" w:after="283"/>
              <w:jc w:val="center"/>
              <w:rPr/>
            </w:pPr>
            <w:r>
              <w:rPr/>
              <w:t xml:space="preserve">(IRS Employer Identification </w:t>
              <w:br/>
              <w:t>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9950 Woodloch Forest Drive, </w:t>
      </w:r>
      <w:bookmarkStart w:id="9" w:name="xdx_906_edei--EntityAddressAddressLine2_"/>
      <w:bookmarkEnd w:id="9"/>
      <w:r>
        <w:rPr>
          <w:rFonts w:ascii="Times New Roman;Times;Serif" w:hAnsi="Times New Roman;Times;Serif"/>
          <w:b/>
          <w:i w:val="false"/>
          <w:caps w:val="false"/>
          <w:smallCaps w:val="false"/>
          <w:sz w:val="20"/>
        </w:rPr>
        <w:t>Suite 1100</w:t>
      </w:r>
    </w:p>
    <w:p>
      <w:pPr>
        <w:pStyle w:val="TextBody"/>
        <w:bidi w:val="0"/>
        <w:spacing w:before="0" w:after="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The Woodlands,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C_edei--EntityAddressPostalZipCode"/>
      <w:bookmarkEnd w:id="12"/>
      <w:r>
        <w:rPr>
          <w:rFonts w:ascii="Times New Roman;Times;Serif" w:hAnsi="Times New Roman;Times;Serif"/>
          <w:b/>
          <w:i w:val="false"/>
          <w:caps w:val="false"/>
          <w:smallCaps w:val="false"/>
          <w:sz w:val="20"/>
        </w:rPr>
        <w:t>77381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r>
        <w:rPr>
          <w:rFonts w:ascii="Times New Roman;Times;Serif" w:hAnsi="Times New Roman;Times;Serif"/>
          <w:b/>
          <w:i w:val="false"/>
          <w:caps w:val="false"/>
          <w:smallCaps w:val="false"/>
          <w:sz w:val="20"/>
        </w:rPr>
        <w:t>(</w:t>
      </w:r>
      <w:bookmarkStart w:id="13" w:name="xdx_907_edei--CityAreaCode_c20260604__20"/>
      <w:bookmarkEnd w:id="13"/>
      <w:r>
        <w:rPr>
          <w:rFonts w:ascii="Times New Roman;Times;Serif" w:hAnsi="Times New Roman;Times;Serif"/>
          <w:b/>
          <w:i w:val="false"/>
          <w:caps w:val="false"/>
          <w:smallCaps w:val="false"/>
          <w:sz w:val="20"/>
        </w:rPr>
        <w:t xml:space="preserve">281) </w:t>
      </w:r>
      <w:bookmarkStart w:id="14" w:name="xdx_90E_edei--LocalPhoneNumber_c20260604"/>
      <w:bookmarkEnd w:id="14"/>
      <w:r>
        <w:rPr>
          <w:rFonts w:ascii="Times New Roman;Times;Serif" w:hAnsi="Times New Roman;Times;Serif"/>
          <w:b/>
          <w:i w:val="false"/>
          <w:caps w:val="false"/>
          <w:smallCaps w:val="false"/>
          <w:sz w:val="20"/>
        </w:rPr>
        <w:t>719-6100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970" w:type="dxa"/>
        <w:jc w:val="left"/>
        <w:tblInd w:w="0" w:type="dxa"/>
        <w:tblLayout w:type="fixed"/>
        <w:tblCellMar>
          <w:top w:w="0" w:type="dxa"/>
          <w:left w:w="0" w:type="dxa"/>
          <w:bottom w:w="0" w:type="dxa"/>
          <w:right w:w="0" w:type="dxa"/>
        </w:tblCellMar>
      </w:tblPr>
      <w:tblGrid>
        <w:gridCol w:w="3380"/>
        <w:gridCol w:w="60"/>
        <w:gridCol w:w="1610"/>
        <w:gridCol w:w="60"/>
        <w:gridCol w:w="3860"/>
      </w:tblGrid>
      <w:tr>
        <w:trPr/>
        <w:tc>
          <w:tcPr>
            <w:tcW w:w="33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center"/>
              <w:rPr/>
            </w:pPr>
            <w:r>
              <w:rPr/>
              <w:t> </w:t>
            </w:r>
          </w:p>
        </w:tc>
        <w:tc>
          <w:tcPr>
            <w:tcW w:w="161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vAlign w:val="center"/>
          </w:tcPr>
          <w:p>
            <w:pPr>
              <w:pStyle w:val="TableContents"/>
              <w:bidi w:val="0"/>
              <w:spacing w:before="0" w:after="283"/>
              <w:jc w:val="center"/>
              <w:rPr/>
            </w:pPr>
            <w:r>
              <w:rPr/>
              <w:t> </w:t>
            </w:r>
          </w:p>
        </w:tc>
        <w:tc>
          <w:tcPr>
            <w:tcW w:w="3860" w:type="dxa"/>
            <w:tcBorders/>
            <w:vAlign w:val="center"/>
          </w:tcPr>
          <w:p>
            <w:pPr>
              <w:pStyle w:val="TableContents"/>
              <w:bidi w:val="0"/>
              <w:spacing w:before="0" w:after="283"/>
              <w:jc w:val="center"/>
              <w:rPr/>
            </w:pPr>
            <w:r>
              <w:rPr>
                <w:rFonts w:ascii="Times New Roman;Times;Serif" w:hAnsi="Times New Roman;Times;Serif"/>
                <w:b/>
                <w:sz w:val="20"/>
              </w:rPr>
              <w:t xml:space="preserve">Name of each exchange on which </w:t>
            </w:r>
            <w:r>
              <w:rPr>
                <w:b/>
              </w:rPr>
              <w:t>registered</w:t>
            </w:r>
          </w:p>
        </w:tc>
      </w:tr>
      <w:tr>
        <w:trPr/>
        <w:tc>
          <w:tcPr>
            <w:tcW w:w="33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5" w:name="xdx_906_edei--Security12bTitle_c20260604"/>
            <w:bookmarkEnd w:id="15"/>
            <w:r>
              <w:rPr>
                <w:rFonts w:ascii="Times New Roman;Times;Serif" w:hAnsi="Times New Roman;Times;Serif"/>
                <w:sz w:val="20"/>
              </w:rPr>
              <w:t>Common stock, par value $0.01 per share</w:t>
            </w:r>
          </w:p>
        </w:tc>
        <w:tc>
          <w:tcPr>
            <w:tcW w:w="60" w:type="dxa"/>
            <w:tcBorders/>
            <w:vAlign w:val="center"/>
          </w:tcPr>
          <w:p>
            <w:pPr>
              <w:pStyle w:val="TableContents"/>
              <w:bidi w:val="0"/>
              <w:spacing w:before="0" w:after="283"/>
              <w:jc w:val="left"/>
              <w:rPr/>
            </w:pPr>
            <w:r>
              <w:rPr/>
              <w:t> </w:t>
            </w:r>
          </w:p>
        </w:tc>
        <w:tc>
          <w:tcPr>
            <w:tcW w:w="161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6" w:name="xdx_907_edei--TradingSymbol_c20260604__2"/>
            <w:bookmarkEnd w:id="16"/>
            <w:r>
              <w:rPr>
                <w:rFonts w:ascii="Times New Roman;Times;Serif" w:hAnsi="Times New Roman;Times;Serif"/>
                <w:sz w:val="20"/>
              </w:rPr>
              <w:t>HHH</w:t>
            </w:r>
          </w:p>
        </w:tc>
        <w:tc>
          <w:tcPr>
            <w:tcW w:w="60" w:type="dxa"/>
            <w:tcBorders/>
            <w:vAlign w:val="center"/>
          </w:tcPr>
          <w:p>
            <w:pPr>
              <w:pStyle w:val="TableContents"/>
              <w:bidi w:val="0"/>
              <w:spacing w:before="0" w:after="283"/>
              <w:jc w:val="left"/>
              <w:rPr/>
            </w:pPr>
            <w:r>
              <w:rPr/>
              <w:t> </w:t>
            </w:r>
          </w:p>
        </w:tc>
        <w:tc>
          <w:tcPr>
            <w:tcW w:w="386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sz w:val="20"/>
              </w:rPr>
            </w:pPr>
            <w:bookmarkStart w:id="17" w:name="xdx_90E_edei--SecurityExchangeName_c2026"/>
            <w:bookmarkEnd w:id="17"/>
            <w:r>
              <w:rPr>
                <w:rFonts w:ascii="Times New Roman;Times;Serif" w:hAnsi="Times New Roman;Times;Serif"/>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B_edei--WrittenCommunications_c202"/>
            <w:bookmarkEnd w:id="18"/>
            <w:r>
              <w:rPr/>
              <w:t>☐</w:t>
            </w:r>
          </w:p>
        </w:tc>
        <w:tc>
          <w:tcPr>
            <w:tcW w:w="7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9" w:name="xdx_90C_edei--SolicitingMaterial_c202606"/>
            <w:bookmarkEnd w:id="19"/>
            <w:r>
              <w:rPr/>
              <w:t>☐</w:t>
            </w:r>
          </w:p>
        </w:tc>
        <w:tc>
          <w:tcPr>
            <w:tcW w:w="73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0" w:name="xdx_902_edei--PreCommencementTenderOffer"/>
            <w:bookmarkEnd w:id="20"/>
            <w:r>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21" w:name="xdx_900_edei--PreCommencementIssuerTende"/>
            <w:bookmarkEnd w:id="21"/>
            <w:r>
              <w:rPr/>
              <w:t>☐</w:t>
            </w:r>
          </w:p>
        </w:tc>
        <w:tc>
          <w:tcPr>
            <w:tcW w:w="90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0" w:right="8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June 4, 2026, Howard Hughes Insurance Holdings, LLC, a Delaware limited liability company (“Buyer”) and wholly-owned subsidiary of Howard Hughes Holdings Inc. (the “Company”), completed its acquisition (the “Vantage Transaction”) of Vantage Group Holdings, Ltd., a Bermuda exempted company with liability limited by shares (“Vantage”) (the “Closing”), pursuant to that certain Purchase and Sale Agreement (the “Purchase Agreement”), dated as of December 17, 2025, by and among Buyer, Vantage, Carlyle Partners VII Cayman Holdings V, L.P., a Cayman Islands exempted limited partnership (the “Carlyle Investor”), H&amp;F Vantage Aggregator, L.P., a Cayman Islands exempted limited partnership (the “H&amp;F Investor”), each of the other shareholders of Vantage (the “Additional Shareholders”, together with the Carlyle Investor and the H&amp;F Investor, each a “Seller” and collectively, the “Sellers”), the Carlyle Investor and the H&amp;F Investor, in their capacities as the Sellers’ representatives, and, solely for purposes of guaranteeing the obligations of Buyer pursuant to the Purchase Agreement,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40" w:right="2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Closing, Buyer acquired all of Vantage’s outstanding shares of capital stock for an aggregate cash consideration of $2.1 billion, subject to customary adjustments. The Vantage Transaction was financed through cash on hand and $1 billion of non-voting preferred equity financing from Pershing Square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reported the Vantage Transaction on a Current Report on Form 8-K, filed with the Securities and Exchange Commission on June 5, 2026 (the “Original 8-K”), and is filing this amendment to the Original 8-K (this “Form 8-K/A”) to amend and supplement the Original 8-K to include historical financial statements of Vantage and pro forma financial information as required by Items 9.01(a) and 9.01(b), respectively, of Form 8-K that were excluded from the Original 8-K in reliance on the instructions to such items. Except as noted in this paragraph, no other information contained in the Original 8-K is amended or supplemented. This Form 8-K/A should be read together with the Original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included in this Form 8-K/A are presented for illustrative purposes only, contain a variety of adjustments, assumptions and estimates, and are not necessarily indicative of what the Company’s actual financial position or results of operations would have been had the Vantage Transaction been completed on the date indicated. The Company’s actual results and financial position may differ materially and adversely from the unaudited pro forma condensed combined financial information included in this Form 8-K/A. Important factors that may affect actual results include, but are not limited to, risks and uncertainties relating to the Company’s business and Vantage’s business, as applicable (including each company’s ability to achieve strategic goals, objectives, and targets over applicable periods), industry performance, and general business and economic conditions.</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Financial Statements of the Business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0" w:right="28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Vantage as of and for the years ended December 31, 2025 and 2024, including the related notes thereto, are filed herewith as Exhibit 99.1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financial statements of Vantage as of March 31, 2026 and for the three months ended March 31, 2026 and 2025, including the related notes thereto, are filed herewith as Exhibit 99.2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Pro Forma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of the Company as of March 31, 2026 and the unaudited pro forma condensed combined statements of operations of the Company for the three months ended March 31, 2026 and the year ended December 31, 2025, including the related notes thereto, giving effect to the Vantage Transaction, are filed herewith as Exhibit 99.3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Exhibits</w:t>
      </w:r>
    </w:p>
    <w:p>
      <w:pPr>
        <w:pStyle w:val="TextBody"/>
        <w:bidi w:val="0"/>
        <w:spacing w:before="0" w:after="0"/>
        <w:ind w:left="60" w:right="0" w:hanging="0"/>
        <w:jc w:val="left"/>
        <w:rPr>
          <w:caps w:val="false"/>
          <w:smallCaps w:val="false"/>
        </w:rPr>
      </w:pPr>
      <w:r>
        <w:rPr>
          <w:caps w:val="false"/>
          <w:smallCaps w:val="false"/>
        </w:rPr>
        <w:t> </w:t>
      </w:r>
    </w:p>
    <w:tbl>
      <w:tblPr>
        <w:tblW w:w="1825" w:type="dxa"/>
        <w:jc w:val="left"/>
        <w:tblInd w:w="0" w:type="dxa"/>
        <w:tblLayout w:type="fixed"/>
        <w:tblCellMar>
          <w:top w:w="0" w:type="dxa"/>
          <w:left w:w="0" w:type="dxa"/>
          <w:bottom w:w="28" w:type="dxa"/>
          <w:right w:w="0" w:type="dxa"/>
        </w:tblCellMar>
      </w:tblPr>
      <w:tblGrid>
        <w:gridCol w:w="785"/>
        <w:gridCol w:w="60"/>
        <w:gridCol w:w="980"/>
      </w:tblGrid>
      <w:tr>
        <w:trPr/>
        <w:tc>
          <w:tcPr>
            <w:tcW w:w="785" w:type="dxa"/>
            <w:tcBorders>
              <w:bottom w:val="single" w:sz="8" w:space="0" w:color="000000"/>
            </w:tcBorders>
            <w:vAlign w:val="center"/>
          </w:tcPr>
          <w:p>
            <w:pPr>
              <w:pStyle w:val="TableContents"/>
              <w:bidi w:val="0"/>
              <w:spacing w:before="0" w:after="283"/>
              <w:jc w:val="left"/>
              <w:rPr/>
            </w:pPr>
            <w:r>
              <w:rPr/>
              <w:t xml:space="preserve">Exhibit </w:t>
            </w:r>
            <w:r>
              <w:rPr>
                <w:sz w:val="20"/>
              </w:rPr>
              <w:br/>
              <w:t>No.</w:t>
            </w:r>
          </w:p>
        </w:tc>
        <w:tc>
          <w:tcPr>
            <w:tcW w:w="60" w:type="dxa"/>
            <w:tcBorders/>
            <w:tcMar>
              <w:bottom w:w="0" w:type="dxa"/>
            </w:tcMar>
            <w:vAlign w:val="center"/>
          </w:tcPr>
          <w:p>
            <w:pPr>
              <w:pStyle w:val="TableContents"/>
              <w:bidi w:val="0"/>
              <w:spacing w:before="0" w:after="283"/>
              <w:jc w:val="left"/>
              <w:rPr/>
            </w:pPr>
            <w:r>
              <w:rPr/>
              <w:t> </w:t>
            </w:r>
          </w:p>
        </w:tc>
        <w:tc>
          <w:tcPr>
            <w:tcW w:w="980" w:type="dxa"/>
            <w:tcBorders>
              <w:bottom w:val="single" w:sz="8" w:space="0" w:color="000000"/>
            </w:tcBorders>
            <w:vAlign w:val="center"/>
          </w:tcPr>
          <w:p>
            <w:pPr>
              <w:pStyle w:val="TableContents"/>
              <w:bidi w:val="0"/>
              <w:spacing w:before="0" w:after="283"/>
              <w:jc w:val="left"/>
              <w:rPr>
                <w:sz w:val="20"/>
              </w:rPr>
            </w:pPr>
            <w:r>
              <w:rPr>
                <w:sz w:val="20"/>
              </w:rPr>
              <w:t>Description</w:t>
            </w:r>
          </w:p>
        </w:tc>
      </w:tr>
    </w:tbl>
    <w:p>
      <w:pPr>
        <w:pStyle w:val="TextBody"/>
        <w:bidi w:val="0"/>
        <w:spacing w:before="0" w:after="0"/>
        <w:ind w:left="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9750"/>
      </w:tblGrid>
      <w:tr>
        <w:trPr/>
        <w:tc>
          <w:tcPr>
            <w:tcW w:w="455" w:type="dxa"/>
            <w:tcBorders/>
            <w:vAlign w:val="center"/>
          </w:tcPr>
          <w:p>
            <w:pPr>
              <w:pStyle w:val="TableContents"/>
              <w:bidi w:val="0"/>
              <w:spacing w:before="0" w:after="283"/>
              <w:jc w:val="left"/>
              <w:rPr/>
            </w:pPr>
            <w:hyperlink w:anchor="tm2620400d1_ex23-1.htm">
              <w:r>
                <w:rPr>
                  <w:rStyle w:val="InternetLink"/>
                  <w:sz w:val="20"/>
                </w:rPr>
                <w:t>23.1</w:t>
              </w:r>
            </w:hyperlink>
          </w:p>
        </w:tc>
        <w:tc>
          <w:tcPr>
            <w:tcW w:w="9750" w:type="dxa"/>
            <w:tcBorders/>
            <w:vAlign w:val="center"/>
          </w:tcPr>
          <w:p>
            <w:pPr>
              <w:pStyle w:val="TableContents"/>
              <w:bidi w:val="0"/>
              <w:spacing w:before="0" w:after="283"/>
              <w:jc w:val="both"/>
              <w:rPr/>
            </w:pPr>
            <w:hyperlink w:anchor="tm2620400d1_ex23-1.htm">
              <w:r>
                <w:rPr>
                  <w:rStyle w:val="InternetLink"/>
                  <w:sz w:val="20"/>
                </w:rPr>
                <w:t>Consent of PricewaterhouseCoopers, LLP, Vantage Group Holdings, Ltd.’s independent auditors.</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hyperlink w:anchor="tm2620400d1_ex99-1.htm">
              <w:r>
                <w:rPr>
                  <w:rStyle w:val="InternetLink"/>
                </w:rPr>
                <w:t>99.1</w:t>
              </w:r>
            </w:hyperlink>
          </w:p>
        </w:tc>
        <w:tc>
          <w:tcPr>
            <w:tcW w:w="9750" w:type="dxa"/>
            <w:tcBorders/>
            <w:vAlign w:val="center"/>
          </w:tcPr>
          <w:p>
            <w:pPr>
              <w:pStyle w:val="TableContents"/>
              <w:bidi w:val="0"/>
              <w:spacing w:before="0" w:after="283"/>
              <w:jc w:val="left"/>
              <w:rPr/>
            </w:pPr>
            <w:hyperlink w:anchor="tm2620400d1_ex99-1.htm">
              <w:r>
                <w:rPr>
                  <w:rStyle w:val="InternetLink"/>
                </w:rPr>
                <w:t>Audited financial statements of Vantage Group Holdings, Ltd. as of and for the years ended December 31, 2025 and 2024, including the related notes thereto.</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hyperlink w:anchor="tm2620400d1_ex99-2.htm">
              <w:r>
                <w:rPr>
                  <w:rStyle w:val="InternetLink"/>
                </w:rPr>
                <w:t>99.2</w:t>
              </w:r>
            </w:hyperlink>
          </w:p>
        </w:tc>
        <w:tc>
          <w:tcPr>
            <w:tcW w:w="9750" w:type="dxa"/>
            <w:tcBorders/>
            <w:vAlign w:val="center"/>
          </w:tcPr>
          <w:p>
            <w:pPr>
              <w:pStyle w:val="TableContents"/>
              <w:bidi w:val="0"/>
              <w:spacing w:before="0" w:after="283"/>
              <w:jc w:val="both"/>
              <w:rPr/>
            </w:pPr>
            <w:hyperlink w:anchor="tm2620400d1_ex99-2.htm">
              <w:r>
                <w:rPr>
                  <w:rStyle w:val="InternetLink"/>
                </w:rPr>
                <w:t>Unaudited condensed financial statements of Vantage Group Holdings, Ltd. as of March 31, 2026 and for the three months ended March 31, 2026 and 2025, including the related notes thereto.</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both"/>
              <w:rPr/>
            </w:pPr>
            <w:r>
              <w:rPr/>
              <w:t> </w:t>
            </w:r>
          </w:p>
        </w:tc>
      </w:tr>
      <w:tr>
        <w:trPr/>
        <w:tc>
          <w:tcPr>
            <w:tcW w:w="455" w:type="dxa"/>
            <w:tcBorders/>
            <w:vAlign w:val="center"/>
          </w:tcPr>
          <w:p>
            <w:pPr>
              <w:pStyle w:val="TableContents"/>
              <w:bidi w:val="0"/>
              <w:spacing w:before="0" w:after="283"/>
              <w:jc w:val="left"/>
              <w:rPr/>
            </w:pPr>
            <w:hyperlink w:anchor="tm2620400d1_ex99-3.htm">
              <w:r>
                <w:rPr>
                  <w:rStyle w:val="InternetLink"/>
                </w:rPr>
                <w:t>99.3</w:t>
              </w:r>
            </w:hyperlink>
          </w:p>
        </w:tc>
        <w:tc>
          <w:tcPr>
            <w:tcW w:w="9750" w:type="dxa"/>
            <w:tcBorders/>
            <w:vAlign w:val="center"/>
          </w:tcPr>
          <w:p>
            <w:pPr>
              <w:pStyle w:val="TableContents"/>
              <w:bidi w:val="0"/>
              <w:spacing w:before="0" w:after="283"/>
              <w:jc w:val="left"/>
              <w:rPr/>
            </w:pPr>
            <w:hyperlink w:anchor="tm2620400d1_ex99-3.htm">
              <w:r>
                <w:rPr>
                  <w:rStyle w:val="InternetLink"/>
                </w:rPr>
                <w:t>Unaudited pro forma condensed combined balance sheet of the Company as of March 31, 2026, and unaudited pro forma condensed combined statements of operations of the Company for the three months ended March 31, 2026 and the year ended December 31, 2025, including the related notes thereto.</w:t>
              </w:r>
            </w:hyperlink>
          </w:p>
        </w:tc>
      </w:tr>
      <w:tr>
        <w:trPr/>
        <w:tc>
          <w:tcPr>
            <w:tcW w:w="455"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455" w:type="dxa"/>
            <w:tcBorders/>
            <w:vAlign w:val="center"/>
          </w:tcPr>
          <w:p>
            <w:pPr>
              <w:pStyle w:val="TableContents"/>
              <w:bidi w:val="0"/>
              <w:spacing w:before="0" w:after="283"/>
              <w:jc w:val="left"/>
              <w:rPr>
                <w:sz w:val="20"/>
              </w:rPr>
            </w:pPr>
            <w:r>
              <w:rPr>
                <w:sz w:val="20"/>
              </w:rPr>
              <w:t>104</w:t>
            </w:r>
          </w:p>
        </w:tc>
        <w:tc>
          <w:tcPr>
            <w:tcW w:w="9750" w:type="dxa"/>
            <w:tcBorders/>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094" w:type="dxa"/>
        <w:jc w:val="left"/>
        <w:tblInd w:w="0" w:type="dxa"/>
        <w:tblLayout w:type="fixed"/>
        <w:tblCellMar>
          <w:top w:w="0" w:type="dxa"/>
          <w:left w:w="0" w:type="dxa"/>
          <w:bottom w:w="0" w:type="dxa"/>
          <w:right w:w="0" w:type="dxa"/>
        </w:tblCellMar>
      </w:tblPr>
      <w:tblGrid>
        <w:gridCol w:w="1730"/>
        <w:gridCol w:w="798"/>
        <w:gridCol w:w="2566"/>
      </w:tblGrid>
      <w:tr>
        <w:trPr/>
        <w:tc>
          <w:tcPr>
            <w:tcW w:w="1730"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b/>
                <w:sz w:val="20"/>
              </w:rPr>
            </w:pPr>
            <w:r>
              <w:rPr>
                <w:b/>
                <w:sz w:val="20"/>
              </w:rPr>
              <w:t>HOWARD HUGHES HOLDINGS, INC.</w:t>
            </w:r>
          </w:p>
        </w:tc>
      </w:tr>
      <w:tr>
        <w:trPr/>
        <w:tc>
          <w:tcPr>
            <w:tcW w:w="1730" w:type="dxa"/>
            <w:tcBorders/>
            <w:vAlign w:val="center"/>
          </w:tcPr>
          <w:p>
            <w:pPr>
              <w:pStyle w:val="TableContents"/>
              <w:bidi w:val="0"/>
              <w:spacing w:before="0" w:after="283"/>
              <w:jc w:val="left"/>
              <w:rPr/>
            </w:pPr>
            <w:r>
              <w:rPr/>
              <w:t> </w:t>
            </w:r>
          </w:p>
        </w:tc>
        <w:tc>
          <w:tcPr>
            <w:tcW w:w="3364" w:type="dxa"/>
            <w:gridSpan w:val="2"/>
            <w:tcBorders/>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sz w:val="20"/>
              </w:rPr>
            </w:pPr>
            <w:r>
              <w:rPr>
                <w:sz w:val="20"/>
              </w:rPr>
              <w:t>Dated: July 15, 2026</w:t>
            </w:r>
          </w:p>
        </w:tc>
        <w:tc>
          <w:tcPr>
            <w:tcW w:w="798" w:type="dxa"/>
            <w:tcBorders/>
            <w:vAlign w:val="center"/>
          </w:tcPr>
          <w:p>
            <w:pPr>
              <w:pStyle w:val="TableContents"/>
              <w:bidi w:val="0"/>
              <w:spacing w:before="0" w:after="283"/>
              <w:jc w:val="left"/>
              <w:rPr>
                <w:sz w:val="20"/>
              </w:rPr>
            </w:pPr>
            <w:r>
              <w:rPr>
                <w:sz w:val="20"/>
              </w:rPr>
              <w:t xml:space="preserve">By: </w:t>
            </w:r>
          </w:p>
        </w:tc>
        <w:tc>
          <w:tcPr>
            <w:tcW w:w="2566"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Carlos A. Olea</w:t>
            </w:r>
          </w:p>
        </w:tc>
      </w:tr>
      <w:tr>
        <w:trPr/>
        <w:tc>
          <w:tcPr>
            <w:tcW w:w="17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sz w:val="20"/>
              </w:rPr>
            </w:pPr>
            <w:r>
              <w:rPr>
                <w:sz w:val="20"/>
              </w:rPr>
              <w:t xml:space="preserve">Name: </w:t>
            </w:r>
          </w:p>
        </w:tc>
        <w:tc>
          <w:tcPr>
            <w:tcW w:w="2566" w:type="dxa"/>
            <w:tcBorders/>
            <w:vAlign w:val="center"/>
          </w:tcPr>
          <w:p>
            <w:pPr>
              <w:pStyle w:val="TableContents"/>
              <w:bidi w:val="0"/>
              <w:spacing w:before="0" w:after="283"/>
              <w:jc w:val="left"/>
              <w:rPr/>
            </w:pPr>
            <w:r>
              <w:rPr/>
              <w:t> </w:t>
            </w:r>
            <w:r>
              <w:rPr>
                <w:sz w:val="20"/>
              </w:rPr>
              <w:t>Carlos A. Olea</w:t>
            </w:r>
          </w:p>
        </w:tc>
      </w:tr>
      <w:tr>
        <w:trPr/>
        <w:tc>
          <w:tcPr>
            <w:tcW w:w="1730"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sz w:val="20"/>
              </w:rPr>
            </w:pPr>
            <w:r>
              <w:rPr>
                <w:sz w:val="20"/>
              </w:rPr>
              <w:t xml:space="preserve">Title: </w:t>
            </w:r>
          </w:p>
        </w:tc>
        <w:tc>
          <w:tcPr>
            <w:tcW w:w="2566"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caps w:val="false"/>
          <w:smallCaps w:val="false"/>
          <w:color w:val="FF0000"/>
        </w:rPr>
      </w:pPr>
      <w:bookmarkStart w:id="23" w:name="tm2620400d1_ex23-1.htm"/>
      <w:bookmarkStart w:id="24" w:name="kstm2620400d1_ex231"/>
      <w:bookmarkEnd w:id="23"/>
      <w:bookmarkEnd w:id="24"/>
      <w:r>
        <w:rPr>
          <w:caps w:val="false"/>
          <w:smallCaps w:val="false"/>
          <w:color w:val="FF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AUDITORS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Statements on Form S-3 (No. 333-273943) and Form S-8 (Nos. 333-273945 and 333-290896) of Howard Hughes Holdings Inc. of our report dated March 11, 2026 relating to the financial statements of Vantage Group Holdings Ltd., which appears in this Current Report on Form 8-K/A.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br/>
        <w:t>New York, New York</w:t>
        <w:br/>
        <w:t>July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right"/>
        <w:rPr>
          <w:sz w:val="20"/>
          <w:bdr w:val="single" w:sz="8" w:space="1" w:color="000000"/>
        </w:rPr>
      </w:pPr>
      <w:r>
        <w:rPr>
          <w:sz w:val="20"/>
          <w:bdr w:val="single" w:sz="8" w:space="1" w:color="000000"/>
        </w:rPr>
        <w:t>1</w:t>
      </w:r>
    </w:p>
    <w:p>
      <w:pPr>
        <w:pStyle w:val="TextBody"/>
        <w:bidi w:val="0"/>
        <w:spacing w:before="0" w:after="0"/>
        <w:ind w:left="360" w:right="0" w:hanging="36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pPr>
      <w:bookmarkStart w:id="25" w:name="tm2620400d1_ex99-1.htm"/>
      <w:bookmarkStart w:id="26" w:name="kstm2620400d1_ex991"/>
      <w:bookmarkEnd w:id="25"/>
      <w:bookmarkEnd w:id="2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057525" cy="1933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57525" cy="1933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br/>
        <w:t>Table of Contents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u w:val="single"/>
        </w:rPr>
      </w:pPr>
      <w:r>
        <w:rPr>
          <w:caps w:val="false"/>
          <w:smallCaps w:val="false"/>
          <w:u w:val="single"/>
        </w:rPr>
        <w:t>      </w:t>
      </w:r>
      <w:r>
        <w:rPr>
          <w:rFonts w:ascii="Times New Roman;Times;Serif" w:hAnsi="Times New Roman;Times;Serif"/>
          <w:b/>
          <w:i w:val="false"/>
          <w:caps w:val="false"/>
          <w:smallCaps w:val="false"/>
          <w:sz w:val="20"/>
          <w:u w:val="single"/>
        </w:rPr>
        <w:t>Page</w:t>
      </w:r>
      <w:r>
        <w:rPr>
          <w:rFonts w:ascii="Times New Roman;Times;Serif" w:hAnsi="Times New Roman;Times;Serif"/>
          <w:b w:val="false"/>
          <w:i w:val="false"/>
          <w:caps w:val="false"/>
          <w:smallCaps w:val="false"/>
          <w:sz w:val="20"/>
          <w:u w:val="single"/>
        </w:rPr>
        <w:t>     </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9455"/>
        <w:gridCol w:w="60"/>
        <w:gridCol w:w="245"/>
      </w:tblGrid>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 of Independent Auditors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 as of December 31, 2025, and December 31, 2024</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9455" w:type="dxa"/>
            <w:tcBorders/>
            <w:vAlign w:val="center"/>
          </w:tcPr>
          <w:p>
            <w:pPr>
              <w:pStyle w:val="TableContents"/>
              <w:bidi w:val="0"/>
              <w:spacing w:before="0" w:after="283"/>
              <w:jc w:val="left"/>
              <w:rPr/>
            </w:pPr>
            <w:r>
              <w:rPr>
                <w:rFonts w:ascii="Times New Roman;Times;Serif" w:hAnsi="Times New Roman;Times;Serif"/>
                <w:sz w:val="20"/>
              </w:rPr>
              <w:t>Consolidated Statements of Operations for the years ended December 31, 2025, and</w:t>
            </w:r>
            <w:r>
              <w:rPr/>
              <w:t xml:space="preserve"> </w:t>
            </w:r>
            <w:r>
              <w:rPr>
                <w:rFonts w:ascii="Times New Roman;Times;Serif" w:hAnsi="Times New Roman;Times;Serif"/>
                <w:sz w:val="20"/>
              </w:rPr>
              <w:t>December 31, 2024</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9455" w:type="dxa"/>
            <w:tcBorders/>
            <w:vAlign w:val="center"/>
          </w:tcPr>
          <w:p>
            <w:pPr>
              <w:pStyle w:val="TableContents"/>
              <w:bidi w:val="0"/>
              <w:spacing w:before="0" w:after="283"/>
              <w:jc w:val="left"/>
              <w:rPr/>
            </w:pPr>
            <w:r>
              <w:rPr>
                <w:rFonts w:ascii="Times New Roman;Times;Serif" w:hAnsi="Times New Roman;Times;Serif"/>
                <w:sz w:val="20"/>
              </w:rPr>
              <w:t>Consolidated Statements of Comprehensive Income for the years ended December 31, 2025,</w:t>
            </w:r>
            <w:r>
              <w:rPr/>
              <w:t xml:space="preserve"> </w:t>
            </w:r>
            <w:r>
              <w:rPr>
                <w:rFonts w:ascii="Times New Roman;Times;Serif" w:hAnsi="Times New Roman;Times;Serif"/>
                <w:sz w:val="20"/>
              </w:rPr>
              <w:t>and December 31, 2024</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9455" w:type="dxa"/>
            <w:tcBorders/>
            <w:vAlign w:val="center"/>
          </w:tcPr>
          <w:p>
            <w:pPr>
              <w:pStyle w:val="TableContents"/>
              <w:bidi w:val="0"/>
              <w:spacing w:before="0" w:after="283"/>
              <w:jc w:val="left"/>
              <w:rPr/>
            </w:pPr>
            <w:r>
              <w:rPr>
                <w:rFonts w:ascii="Times New Roman;Times;Serif" w:hAnsi="Times New Roman;Times;Serif"/>
                <w:sz w:val="20"/>
              </w:rPr>
              <w:t>Consolidated Statements of Changes in Equity for the years ended December 31, 2025, and</w:t>
            </w:r>
            <w:r>
              <w:rPr/>
              <w:t xml:space="preserve"> </w:t>
            </w:r>
            <w:r>
              <w:rPr>
                <w:rFonts w:ascii="Times New Roman;Times;Serif" w:hAnsi="Times New Roman;Times;Serif"/>
                <w:sz w:val="20"/>
              </w:rPr>
              <w:t>December 31, 2024</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9455" w:type="dxa"/>
            <w:tcBorders/>
            <w:vAlign w:val="center"/>
          </w:tcPr>
          <w:p>
            <w:pPr>
              <w:pStyle w:val="TableContents"/>
              <w:bidi w:val="0"/>
              <w:spacing w:before="0" w:after="283"/>
              <w:jc w:val="left"/>
              <w:rPr/>
            </w:pPr>
            <w:r>
              <w:rPr>
                <w:rFonts w:ascii="Times New Roman;Times;Serif" w:hAnsi="Times New Roman;Times;Serif"/>
                <w:sz w:val="20"/>
              </w:rPr>
              <w:t>Consolidated Statements of Cash Flows for the years ended December 31, 2025, and</w:t>
            </w:r>
            <w:r>
              <w:rPr/>
              <w:t xml:space="preserve"> </w:t>
            </w:r>
            <w:r>
              <w:rPr>
                <w:rFonts w:ascii="Times New Roman;Times;Serif" w:hAnsi="Times New Roman;Times;Serif"/>
                <w:sz w:val="20"/>
              </w:rPr>
              <w:t>December 31, 2024</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Consolidated Financial Statements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Nature of Operations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 Basis of Presentation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 Significant Accounting Policies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 Investments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Fair Value Measurements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 Variable Interest Entities and Noncontrolling Interests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 Reserves for claims and claim expenses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 Shareholders’ Equity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 Stock Based Compensation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 Commitments, Contingencies and Other Items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Reinsurance</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Segment Information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 Statutory financial information</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 Income Taxes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 Subsequent Events</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caps w:val="false"/>
          <w:smallCaps w:val="false"/>
        </w:rPr>
      </w:pPr>
      <w:r>
        <w:rPr>
          <w:caps w:val="false"/>
          <w:smallCaps w:val="false"/>
        </w:rPr>
        <w:drawing>
          <wp:inline distT="0" distB="0" distL="0" distR="0">
            <wp:extent cx="752475" cy="37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52475" cy="3714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Independent Auditors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of Vantage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financial statements of Vantage Group Holdings Ltd. and its subsidiaries (the “Company”), which comprise the consolidated balance sheets as of December 31, 2025 and 2024, and the related consolidated statements of operations, of comprehensive income, of changes in equity and of cash flows for the years then ended, including the related notes (collectively referred to as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accompanying consolidated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auditing standards generally accepted in the United States of America (US GAAS). Our responsibilities under those standards are further described in the Auditors’ Responsibilities for the Audit of the Consolidated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Responsibilities of Management for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the preparation and fair presentation of the consolidated financial statements in accordance with accounting principles generally accepted in the United States of America, and for the design, implementation, and maintenance of internal control relevant to the preparation and fair presentation of consolidated financial statements that are free from material misstatement, whether due to fraud or error.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preparing the consolidated financial statements, management is required to evaluate whether there are conditions or events, considered in the aggregate, that raise substantial doubt about the Company’s ability to continue as a going concern for one year after the date the consolidated financial statements are available to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Auditors’ Responsibilities for the Audit of the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US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an audit in accordance with US GAAS, we: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Exercise professional judgment and maintain professional skepticism throughout the audit.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Evaluate the appropriateness of accounting policies used and the reasonableness of significant accounting estimates made by management, as well as evaluate the overall presentation of the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Conclude whether, in our judgment, there are conditions or events, considered in the aggregate, that raise substantial doubt about the Company’s ability to continue as a going concern for a reasonable period of time.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Required Supplemental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principles generally accepted in the United States of America require that the incurred and paid loss development for the years ended December 31, 2021 to December 31, 2024 on pages 23 to 24 be presented to supplement the basic financial statements. Such information is the responsibility of management and, although not a part of the basic financial statements, is required by the Financial Accounting Standards Board who considers it to be an essential part of financial reporting for placing the basic financial statements in an appropriate operational, economic, or historical context. We have applied certain limited procedures to the required supplementary information in accordance with auditing standards generally accepted in the United States of America, which consisted of inquiries of management about the methods of preparing the information and comparing the information for consistency with management’s responses to our inquiries, the basic financial statements, and other knowledge we obtained during our audit of the basic financial statements. We do not express an opinion or provide any assurance on the information because the limited procedures do not provide us with sufficient evidence to express an opinion or provide any assurance.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762250" cy="590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762250" cy="5905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w:t>
        <w:br/>
        <w:t>March 11, 2026</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 except number of shares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42"/>
        <w:gridCol w:w="60"/>
        <w:gridCol w:w="153"/>
        <w:gridCol w:w="1040"/>
        <w:gridCol w:w="60"/>
        <w:gridCol w:w="60"/>
        <w:gridCol w:w="153"/>
        <w:gridCol w:w="1040"/>
        <w:gridCol w:w="97"/>
      </w:tblGrid>
      <w:tr>
        <w:trPr/>
        <w:tc>
          <w:tcPr>
            <w:tcW w:w="75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9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December 31, </w:t>
              <w:br/>
              <w:t>2024</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available for sale, at fair value (amortized cost - $2,587,814 and $1,949,357 at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1,922,196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security held to maturity,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2,662,837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1,929,696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350,169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15,167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540,943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531,466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390,578</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reinsurance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391,919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125,777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94,450</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62,561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held by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83,613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52,032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4,861,544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3,831,337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1,942,748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1,423,343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1,183,003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977,982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balances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220,095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65,731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3,461,081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2,687,151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 $10.00 par value, 150,000,000 shares authorized, 123,666,492 and 123,567,148 shares issued and outstanding at December 31, 2025, and December 31, 2024,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1,235,671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(102,870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Vantage Group Holdings Ltd.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1,392,859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1,141,176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1,400,463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1,144,186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4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4,861,544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3,831,337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8363" w:type="dxa"/>
        <w:jc w:val="left"/>
        <w:tblInd w:w="0" w:type="dxa"/>
        <w:tblLayout w:type="fixed"/>
        <w:tblCellMar>
          <w:top w:w="0" w:type="dxa"/>
          <w:left w:w="0" w:type="dxa"/>
          <w:bottom w:w="0" w:type="dxa"/>
          <w:right w:w="0" w:type="dxa"/>
        </w:tblCellMar>
      </w:tblPr>
      <w:tblGrid>
        <w:gridCol w:w="4790"/>
        <w:gridCol w:w="60"/>
        <w:gridCol w:w="273"/>
        <w:gridCol w:w="1366"/>
        <w:gridCol w:w="80"/>
        <w:gridCol w:w="60"/>
        <w:gridCol w:w="249"/>
        <w:gridCol w:w="1390"/>
        <w:gridCol w:w="95"/>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tab/>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2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797,957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gains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1,182,824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927,935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73" w:type="dxa"/>
            <w:tcBorders/>
            <w:shd w:fill="CCEEFF" w:val="clear"/>
            <w:vAlign w:val="center"/>
          </w:tcPr>
          <w:p>
            <w:pPr>
              <w:pStyle w:val="TableContents"/>
              <w:bidi w:val="0"/>
              <w:spacing w:before="0" w:after="283"/>
              <w:jc w:val="left"/>
              <w:rPr/>
            </w:pPr>
            <w:r>
              <w:rPr/>
              <w:t> </w:t>
            </w:r>
          </w:p>
        </w:tc>
        <w:tc>
          <w:tcPr>
            <w:tcW w:w="136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13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524,257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827,119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100,816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201,747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tab/>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27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136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97,040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8263" w:type="dxa"/>
        <w:jc w:val="left"/>
        <w:tblInd w:w="0" w:type="dxa"/>
        <w:tblLayout w:type="fixed"/>
        <w:tblCellMar>
          <w:top w:w="0" w:type="dxa"/>
          <w:left w:w="0" w:type="dxa"/>
          <w:bottom w:w="0" w:type="dxa"/>
          <w:right w:w="0" w:type="dxa"/>
        </w:tblCellMar>
      </w:tblPr>
      <w:tblGrid>
        <w:gridCol w:w="4730"/>
        <w:gridCol w:w="60"/>
        <w:gridCol w:w="249"/>
        <w:gridCol w:w="1390"/>
        <w:gridCol w:w="60"/>
        <w:gridCol w:w="60"/>
        <w:gridCol w:w="249"/>
        <w:gridCol w:w="1390"/>
        <w:gridCol w:w="75"/>
      </w:tblGrid>
      <w:tr>
        <w:trPr/>
        <w:tc>
          <w:tcPr>
            <w:tcW w:w="47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100,492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b/>
                <w:sz w:val="20"/>
              </w:rPr>
            </w:pPr>
            <w:r>
              <w:rPr>
                <w:b/>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net unrealized losses on investments,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46,729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6,562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107,054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5472"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56"/>
        <w:gridCol w:w="60"/>
        <w:gridCol w:w="125"/>
        <w:gridCol w:w="845"/>
        <w:gridCol w:w="60"/>
        <w:gridCol w:w="60"/>
        <w:gridCol w:w="165"/>
        <w:gridCol w:w="788"/>
        <w:gridCol w:w="80"/>
        <w:gridCol w:w="60"/>
        <w:gridCol w:w="125"/>
        <w:gridCol w:w="755"/>
        <w:gridCol w:w="80"/>
        <w:gridCol w:w="60"/>
        <w:gridCol w:w="213"/>
        <w:gridCol w:w="1115"/>
        <w:gridCol w:w="80"/>
        <w:gridCol w:w="60"/>
        <w:gridCol w:w="268"/>
        <w:gridCol w:w="1042"/>
        <w:gridCol w:w="80"/>
        <w:gridCol w:w="60"/>
        <w:gridCol w:w="125"/>
        <w:gridCol w:w="845"/>
        <w:gridCol w:w="98"/>
      </w:tblGrid>
      <w:tr>
        <w:trPr/>
        <w:tc>
          <w:tcPr>
            <w:tcW w:w="29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9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8" w:type="dxa"/>
            <w:tcBorders/>
            <w:vAlign w:val="center"/>
          </w:tcPr>
          <w:p>
            <w:pPr>
              <w:pStyle w:val="TableContents"/>
              <w:bidi w:val="0"/>
              <w:spacing w:before="0" w:after="283"/>
              <w:jc w:val="center"/>
              <w:rPr/>
            </w:pPr>
            <w:r>
              <w:rPr/>
              <w:t> </w:t>
            </w:r>
          </w:p>
        </w:tc>
      </w:tr>
      <w:tr>
        <w:trPr/>
        <w:tc>
          <w:tcPr>
            <w:tcW w:w="295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br/>
              <w:t xml:space="preserve">paid-in </w:t>
              <w:b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Retained </w:t>
              <w:br/>
              <w:t xml:space="preserve">(deficit) </w:t>
              <w:br/>
              <w:t>earnings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Accumulated </w:t>
              <w:br/>
              <w:t xml:space="preserve">other </w:t>
              <w:br/>
              <w:t xml:space="preserve">comprehensive </w:t>
              <w:br/>
              <w:t>(loss) income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Noncontrolling</w:t>
              <w:br/>
              <w:t>interest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8" w:type="dxa"/>
            <w:tcBorders/>
            <w:vAlign w:val="center"/>
          </w:tcPr>
          <w:p>
            <w:pPr>
              <w:pStyle w:val="TableContents"/>
              <w:bidi w:val="0"/>
              <w:spacing w:before="0" w:after="283"/>
              <w:jc w:val="center"/>
              <w:rPr/>
            </w:pPr>
            <w:r>
              <w:rPr/>
              <w:t> </w:t>
            </w:r>
          </w:p>
        </w:tc>
      </w:tr>
      <w:tr>
        <w:trPr/>
        <w:tc>
          <w:tcPr>
            <w:tcW w:w="29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1,144,186</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from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46,729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1,236,665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42,455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94,171</w:t>
            </w:r>
          </w:p>
        </w:tc>
        <w:tc>
          <w:tcPr>
            <w:tcW w:w="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1,400,463</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37"/>
        <w:gridCol w:w="60"/>
        <w:gridCol w:w="125"/>
        <w:gridCol w:w="845"/>
        <w:gridCol w:w="80"/>
        <w:gridCol w:w="60"/>
        <w:gridCol w:w="165"/>
        <w:gridCol w:w="788"/>
        <w:gridCol w:w="80"/>
        <w:gridCol w:w="60"/>
        <w:gridCol w:w="125"/>
        <w:gridCol w:w="755"/>
        <w:gridCol w:w="80"/>
        <w:gridCol w:w="60"/>
        <w:gridCol w:w="213"/>
        <w:gridCol w:w="1115"/>
        <w:gridCol w:w="80"/>
        <w:gridCol w:w="60"/>
        <w:gridCol w:w="244"/>
        <w:gridCol w:w="1066"/>
        <w:gridCol w:w="80"/>
        <w:gridCol w:w="60"/>
        <w:gridCol w:w="125"/>
        <w:gridCol w:w="845"/>
        <w:gridCol w:w="97"/>
      </w:tblGrid>
      <w:tr>
        <w:trPr/>
        <w:tc>
          <w:tcPr>
            <w:tcW w:w="29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111"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tc>
        <w:tc>
          <w:tcPr>
            <w:tcW w:w="97" w:type="dxa"/>
            <w:tcBorders/>
            <w:vAlign w:val="center"/>
          </w:tcPr>
          <w:p>
            <w:pPr>
              <w:pStyle w:val="TableContents"/>
              <w:bidi w:val="0"/>
              <w:spacing w:before="0" w:after="283"/>
              <w:jc w:val="center"/>
              <w:rPr/>
            </w:pPr>
            <w:r>
              <w:rPr/>
              <w:t> </w:t>
            </w:r>
          </w:p>
        </w:tc>
      </w:tr>
      <w:tr>
        <w:trPr/>
        <w:tc>
          <w:tcPr>
            <w:tcW w:w="293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br/>
              <w:t>shares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br/>
              <w:t xml:space="preserve">paid-in </w:t>
              <w:br/>
              <w:t>capital</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Retained </w:t>
              <w:br/>
              <w:t>deficit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28"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Accumulated </w:t>
              <w:br/>
              <w:t xml:space="preserve">other </w:t>
              <w:br/>
              <w:t xml:space="preserve">comprehensive </w:t>
              <w:br/>
              <w:t>loss</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Noncontrolling</w:t>
              <w:br/>
              <w:t>interest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7" w:type="dxa"/>
            <w:tcBorders/>
            <w:vAlign w:val="center"/>
          </w:tcPr>
          <w:p>
            <w:pPr>
              <w:pStyle w:val="TableContents"/>
              <w:bidi w:val="0"/>
              <w:spacing w:before="0" w:after="283"/>
              <w:jc w:val="center"/>
              <w:rPr/>
            </w:pPr>
            <w:r>
              <w:rPr/>
              <w:t> </w:t>
            </w:r>
          </w:p>
        </w:tc>
      </w:tr>
      <w:tr>
        <w:trPr/>
        <w:tc>
          <w:tcPr>
            <w:tcW w:w="29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1,233,783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(199,910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1,034,668</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shares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from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97,040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100,492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December 31, 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1,235,671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35,536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(102,870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(27,161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1,144,186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6"/>
        <w:gridCol w:w="60"/>
        <w:gridCol w:w="196"/>
        <w:gridCol w:w="1430"/>
        <w:gridCol w:w="80"/>
        <w:gridCol w:w="60"/>
        <w:gridCol w:w="229"/>
        <w:gridCol w:w="1397"/>
        <w:gridCol w:w="97"/>
      </w:tblGrid>
      <w:tr>
        <w:trPr/>
        <w:tc>
          <w:tcPr>
            <w:tcW w:w="665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2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9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26"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6" w:type="dxa"/>
            <w:gridSpan w:val="2"/>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100,492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(gains) losses on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(gains) losses on foreign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(3,828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(84,936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(123,075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(140,888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(124,738</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reinsurance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(84,317</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(31,327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(34,699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held by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(24,721</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(2,809</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509,731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485,714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273,862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balances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48,372</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(1,603</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641,243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496,403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fixed maturity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(1,197,481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(881,450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fixed 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118,827</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calls, and paydowns of fixed maturity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362,899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short 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(4,275</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(683,628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(402,725</w:t>
            </w:r>
          </w:p>
        </w:tc>
        <w:tc>
          <w:tcPr>
            <w:tcW w:w="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43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9" w:type="dxa"/>
            <w:tcBorders/>
            <w:shd w:fill="FFFFFF" w:val="clear"/>
            <w:vAlign w:val="center"/>
          </w:tcPr>
          <w:p>
            <w:pPr>
              <w:pStyle w:val="TableContents"/>
              <w:bidi w:val="0"/>
              <w:spacing w:before="0" w:after="283"/>
              <w:jc w:val="left"/>
              <w:rPr/>
            </w:pPr>
            <w:r>
              <w:rPr/>
              <w:t> </w:t>
            </w:r>
          </w:p>
        </w:tc>
        <w:tc>
          <w:tcPr>
            <w:tcW w:w="139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 </w:t>
            </w:r>
          </w:p>
        </w:tc>
        <w:tc>
          <w:tcPr>
            <w:tcW w:w="139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Repurchase of common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(6,087</w:t>
            </w:r>
          </w:p>
        </w:tc>
        <w:tc>
          <w:tcPr>
            <w:tcW w:w="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(6,587</w:t>
            </w:r>
          </w:p>
        </w:tc>
        <w:tc>
          <w:tcPr>
            <w:tcW w:w="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6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87,091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269,354</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65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cash—end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313,948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356,445</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Group Holdings Ltd. (the “Company” or “Vantage” or “we” or “our”) is a privately held Bermuda-exempted company that provides property, casualty, and specialty (re)insurance through its wholly owned subsidiaries and provides underwriting services to a registered collateralized insurer and segregated accounts company in Bermuda. The Company was incorporated on July 28, 2020, and is majority owned by funds managed by The Carlyle Group, Inc. ("Carlyle") and Hellman &amp; Friedman LLC ("H&amp;F"). The Company's principal operating subsidiaries, located in Bermuda and the United States,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Ltd. (“VRL”), a Bermuda domiciled company, provides property, casualty, and specialty (re)insurance on a worldwide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Specialty Insurance Company ("VRSIC"), domiciled in Delaware, is a property and casualty insurance company which operates as an excess and surplus lines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Assurance Company ("VRAC"), domiciled in Delaware, is a property and casualty insurance company which writes business on an admitted basis in 49 U.S.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a subsidiary of Howard Hughes Holdings Inc. entered into a definitive agreement to acquire 100% of the Company from the Company's current shareholders, including Carlyle and H&amp;F. The transaction is expected to close in the second quarter of 2026, subject to customary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(“GAAP”).The consolidated financial statements include the accounts of the Company and all of its wholly owned subsidiaries and any variable interest entity ("VIE") in which the Company is considered to be the primary beneficiary. All inter-company transactions and balances are eliminated in consolidation.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Ultimate actual results could differ, possibly materially, from those estimates. Amounts are presented in United States of America (“U.S.”) Dollars. Certain prior period amounts have been reclassified to conform to the 2025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Targeted Improvements to the Accounting for Internal-Use Software. This ASU updates the capitalization framework for internal-use software development costs to reflect current development practices. It replaces the concept of project stages with a recognition threshold based on whether completion is probable. The ASU also modifies guidance for website development costs and aligns disclosure requirements for capitalized software costs with those for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all entities for fiscal years, including interim periods, beginning after December 15, 2027. Early adoption is permitted. Entities may apply the guidance using a prospective, retrospective or modified transition approach. The Company is currently evaluating the potential impact of the new standard on its financial statements and anticipates finishing this evaluation before the effective date.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equivalents include money market instruments with a maturity of ninety days or less when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represents amounts held for the benefit of third parties and is legally or contractually restricted as to withdrawal or usage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Fixed maturity investments and short-term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are classified as either available for sale (“AFS”) or held to maturity (“HTM”). AFS securities are reported at fair value, net of valuation allowance for expected credit losses (if necessary), with unrealized changes in fair value recorded as a separate component of accumulated other comprehensive income (“AOCI”) in shareholders’ equity. HTM securities are investments for which the Company has the ability and positive intent to hold to maturity and are reported at amortized cost, net of valuation allowance for expected credit losses (if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 include securities due to mature within one year of the date of purchase and are recorded at fair value, which typically approximates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dividend income, amortization and accretion of fixed maturity market premiums and discounts are recorded in net investment income, net of investment management and custody fees in the consolidated statements of operations. The amortization of premium and accretion of discount for fixed maturity securities is computed using the effective yield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gains and losses on investments are determined using cost calculated on a specific identification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mortgage-backed securities, and any other holdings for which there is prepayment risk, prepayment assumptions are evaluated and revised as necessary. Any adjustments required due to the resultant change in effective yields and maturities are recognized prospectively. Prepayment fees or call premiums that are only payable when a security is called prior to its maturity are earned when received and reflected in 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Valuation allowance for fixed maturity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AFS securities with a fair value that has declined below amortized cost to determine how the decline in fair value should be recognized. If determined, based on the facts and circumstances related to the specific security, that management intends to sell a security or it is more likely than not that management would be required to sell a security before the recovery of its amortized cost, any existing allowance for expected credit losses is reversed with an offsetting entry to the security’s amortized cost. In circumstances where the allowance has been reversed and the fair value is less than the amortized cost, the amortized cost of the security is written down to fair value. If neither of these conditions exist, management evaluates whether the decline in fair value has resulted from credit related or other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AFS securities, management qualitatively considers relevant facts and circumstances in evaluating whether a decline in fair value is credit related. Relevant facts and circumstances include but are not limited to: (i) the extent to which the fair value is less than amortized cost, (ii) changes in agency credit ratings, (iii) adverse conditions related to the security’s industry or geographical area, (iv) failure to make scheduled payments, and (v) other known changes in the financial condition of the issuer or quality of any underlying collateral or credit enhancements.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upon completion of this analysis it is determined that a potential credit loss exists, a valuation allowance for expected credit losses is established equal to the amount by which the present value of expected cash flows is less than amortized cost, limited to the amount by which fair value is less than amortized cost.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the need for a valuation allowance for expected credit losses for its HTM security based on probability of default and loss given various default assumptions. Once the Company has deemed all or a portion of the amortized cost uncollectible, the uncollectible portion of the allowance is removed from the consolidated balance sheets by writing down the amortized cost basis of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a credit loss analysis for its AFS fixed maturity securities (as well as its premiums receivable, reinsurance recoverable on paid and unpaid losses and fee income receivable), and determined an allowance was not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not to measure a valuation allowance for expected credit losses for accrued investment income as uncollectible balances are written off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Variable Interest Entities and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VIE is a legal entity that does not have sufficient equity at risk to finance its activities without additional subordinated financial support or is structured such that equity investors lack the ability to make significant decisions relating to the entity’s operations through voting rights, or do not substantively participate in the gains and losses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consolidates the results of operations and financial position of all VIE's in which the Company is considered to be the primary beneficiary. The primary beneficiary is the entity that has both (i) the power to direct the activities of the VIE that most significantly impact the economic performance of the VIE and (ii) the obligation to absorb losses or right to receive benefits from the VIE that could potentially be significant to the VIE.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inception of a variable interest in a VIE, as well as on an ongoing basis, the Company determines whether it is the primary beneficiary based on a review of the VIE’s capital structure, related contractual relationships and terms, nature of the VIE’s operations and purpose, nature of the VIE’s interests issued and the Company’s involvement with the entity. When assessing the need to consolidate a VIE, management evaluates the design of the VIE as well as the related risks to which the entity was designed to expose the variable interest holders. The consolidation assessment, including the determination as to whether an entity qualifies as a VIE, depends on the facts and circumstances surrounding each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consolidated VIE, the Company accounts for the portion of equity of the third-party investor in the shareholders’ equity section of the consolidated balance sheets as noncontrolling interest. The portion of the income attributable to the third-party investor is recorded in the consolidated statements of operations in net income attributable to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Limited Partnerships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investment in a limited partnership interest which is carried at fair value. As permitted by the relevant accounting guidance, the fair value is estimated using the net asset value (“NAV”) reported by the external fund manager as a practical expedient. This investment is presented in other assets on the consolidated balance sheets. Changes in fair value are recorded in realized gains or losses on investments on the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Premiums and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premiums written are recorded in accordance with the terms of the underlying policies, are generally recorded at the policy inception and are primarily earned on a pro rata basis over the term of the policies, usually 12 months. Unearned premiums represent the portion of premiums written that relate to the unexpired terms of the policies in force.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Reinsurance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premiums written are recorded based on the type of contract. For excess of loss reinsurance contracts, premiums are recorded as written based on the terms of the contract. For pro rata reinsurance contracts, reinsurance premiums are recorded as written based on amounts reported by brokers and ceding companies, supplemented by the Company’s own estimates of premiums where reports have not been received. The determination of estimates requires a review by management based on experience with the ceding companies, familiarity with the market, timing of reported information, analysis and understanding of the characteristics of each line of business, and management’s judgment of the impact of various factors, including premium or loss trends on the volume of business written and ceded to the Company. On an ongoing basis, the Company’s underwriters review the amounts reported by these third parties for reasonableness based on their experience and knowledge of the subject class of business, taking into account management’s historical experience with the brokers or ceding companies. In addition, reinsurance contracts under which the Company assumes business generally contain specific provisions which allow the Company to perform audits of the ceding company to ensure compliance with the terms and conditions of the contract, including accurate and timely reporting of information. Premium estimates are updated when new information is received and differences between such estimates and actual amounts are recorded in the period in which estimates are changed, or the actual amounts are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multi-year reinsurance contracts which are payable in annual installments, generally only the initial annual installment is included as premiums written at policy inception, due to the ability of the reinsured to commute or cancel coverage under certain conditions during the term of the policy. The remaining annual installments are included as premiums written at each successive anniversary date within the multi-year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premiums written, irrespective of the class of business, are generally earned on a pro rata basis over the terms of the underlying policies or reinsurance contracts. Contracts and policies written on a “losses occurring” basis cover claims that may occur during the term of the contract or policy, which is typically 12 months. Accordingly, the reinsurance premium is earned evenly over the term. Contracts which are written on a “risks attaching” basis cover claims which attach to the underlying insurance policies written during the terms of these contracts. Premiums earned on “risks attaching” contracts usually extend beyond the original term of the reinsurance contract, typically resulting in recognition of reinsurance premiums earned over a 24-month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Reinstatement Premiums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Reinstatement premiums for the Company’s reinsurance operations are recognized at the time a loss event occurs, where coverage limits for the remaining life of the contract are reinstated under pre-defined contract or policy terms. Reinsurance reinstatement premiums are fully earned when recognized. The accrual of reinstatement premiums is based on an estimate of claims and claim expenses, which reflects management’s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Premiums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 include amounts receivable from agents, brokers and insureds that are both currently due and amounts not yet due on insurance policies and reinsurance contracts. Premiums receivable balances are reported net of an allowance for expected credit losses (if necessary). The measurement of an allowance for expected credit losses is based on relevant information about past events, including historical experience, current conditions, and reasonable and supportable forecasts that affect the collectability of the reported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monitors credit risk associated with premiums receivable through its ongoing review of amounts outstanding, aging of the receivable, historical loss data, and counterparty financial strength measures (where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credit risk may be reduced by the Company’s right to offset loss obligations and/or unearned premiums against premiums receivable. Any allowance for expected credit losses is recorded in the consolidated statements of operations in the period the receivable is recorded and updated in subsequent periods to reflect changes in the Company’s estimate of expected credit losses.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Acquisition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costs are incurred when a contract or policy is issued and only the costs directly related to the successful acquisition of new and renewal contracts are deferred and amortized over the same period in which the related premiums are earned. Deferred acquisition costs are presented net of ceding commissions that are deferred and amortized over the same period in which the related premium is earned. Acquisition costs consist principally of commissions, brokerage and premium tax expenses. Certain reinsurance contracts contain profit sharing provisions or adjustable commissions that are estimated based on the expected claims and claim expenses on those contracts. Acquisition costs include accrual for such estimates of commissions and are shown net of commissions and profit commissions earned on ceded reinsurance. Deferred acquisition costs are limited to their estimated realizable value based on the related unearned premiums. Anticipated claims and claims expenses, based on historical and current experience, and anticipated investment income related to those premiums are considered in determining the recoverability of deferred acquisition costs. Acquisition costs are shown net of commissions on reinsurance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Reserves for Claims and Claim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reserves for claims and claim expenses includes estimates for unpaid claims and claim expenses on reported losses as well as an estimate of losses incurred but not reported (“IBNR”). The reserve is based on individual claims, case reserves and other reserve estimates reported by insureds and ceding companies, as well as management estimates of ultimate losses. We estimate ultimate losses using various generally accepted actuarial methods. Inherent in the estimates of ultimate losses are expected trends in claim severity and frequency and other factors which could vary significantly as claims are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claims and claim expenses ultimately paid may differ materially from the amounts recorded in the consolidated financial statements. These estimates are reviewed regularly and, as experience develops and new information becomes known, the reserves are adjusted as necessary. Such adjustments, if any, are reflected in the consolidated statements of operations in the period in which they become known and are accounted for as changes in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purchases reinsurance to increase capacity and to limit the impact of individual losses and events on its underwriting results by reinsuring certain levels of risk with other insurance enterprises or reinsurers. The Company uses pro rata, excess of loss and facultative reinsurance contracts. The premiums paid to reinsurers (i.e., ceded premiums written) are recognized over the coverage period. Prepaid reinsurance premiums represent the portion of premiums ceded which relate to the unexpired term of the contracts in force. Ceded reinsurance contracts do not relieve the Company of its primary obligation to its (re)insureds.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unpaid losses and loss expenses are estimated in a manner consistent with the associated claim liability. Reinsurance recoverable related to IBNR is generally developed as part of the Company’s loss reserving process, therefore, its estimation is subject to similar risks and uncertainties as the estimation of IBNR. In certain instances, the Company obtains collateral, including letters of credit and trust accounts to reduce the credit exposure on its reinsurance recoverable. The Company reports its reinsurance recoverable on paid and unpaid losses net of an allowance for expected credit loss (if necessary). The allowance is based upon the Company’s ongoing review of amounts outstanding, the financial condition of its reinsurers, amounts and form of collateral obtained and other relevant factors. Any allowance for expected credit losses is recorded in the consolidated statements of operations in the period the recoverable is recorded and updated in subsequent periods to reflect changes in the Company’s estimate of expected credit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 Income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receivable primarily includes amounts from third parties relating to potential variable fees. Revenue is recognized when the variable fee is probable of being realized and the amount of the variable fee can be reliably estimated. The probability of the variable fee being realized is assessed based on an evaluation of the terms and conditions of the reinsurance contracts, historical experience, and any other relevant factors. The estimation of the amount of the variable fee to recognize takes into consideration the anticipated profitability of the underlying reinsurance contracts, as well as any limitations or contingencies specified in the contracts. GAAP requires that an entity include amounts only to the extent that it is probable that a significant reversal will not occur as of the balance sheet date when the uncertainty associated with the variable consideration is subsequently resolved. In accordance with the guidance, management revisits the estimate at each reporting date throughout the contract period. See note 6, "Variable Interest Entities and Noncontrolling Interests"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 fair value-based measurement method to account for its share-based payment arrangements with eligible employees and directors. Compensation expense is estimated based on the fair value of the award at the grant date. Determining the fair value of share-based payment arrangements at the grant date requires management’s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share-based payment arrangements that contain both a service and performance condition, the Company recognizes compensation expense only for the portion of the award that is considered probable of vesting. The fair value of share-based payment arrangements considered probable of vesting are expensed over the requisite service period on a graded vesting basis. The probability of share-based payment arrangements vesting is evaluated at each reporting period. Share-based payment arrangements that contain only service conditions are expensed ratably over the requisite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recognize forfeitures as they occur rather than estimating service-based forfeitures over the requisite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 and Capitalized Software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consisting of leasehold improvements, furniture, and computer hardware, are carried at historical cost, less accumulated depreciation and any impairment in value. Depreciation is computed using the straight-line method over the estimated useful economic lives of the assets (generally 3-5 years) or the remaining lease term, whichever is shorter.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assets’ residual value, useful lives and depreciation methods are reviewed, and adjusted if appropriate, at each balance sheet date. If such review indicates that the carrying amount of property and equipment assets is not recoverable, and the asset's fair value is less than the carrying amount, an impairment charge is recognized. There was no material impairment charge in both December 31, 2025, and December 31, 2024. An item of property or equipment is derecognized on disposal or when no future economic benefits are expected to arise from the continued use of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software costs, which represent costs directly related to obtaining, developing, or upgrading internal use software, are capitalized and amortized using the straight-line method over a period generally not exceeding ten years. Amortization begins when the software is ready for its intended use, regardless of whether the software has actually been placed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and capitalized software costs are included in other assets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Combinations and Asset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acquisitions of assets and other similar transactions to assess whether or not the transaction should be accounted for as a business combination or asset acquisition by first applying a screen test to determine if substantially all of the fair value of the gross assets acquired is concentrated in a single identifiable asset or group of similar identifiable assets. If the screen test is met, the transaction is accounted for as an asset acquisition. If the screen is not met, further determination is required as to whether or not the Company has acquired inputs and processes that have the ability to create outputs which would meet the definition of a business. Significant judgment is required in the application of the screen test to determine whether an acquisition is a business combination or an asset acquisition.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determined not to be a business combination, it is accounted for as an asset acquisition. Assets acquired are measured under a cost accumulation model, with cost allocated to acquired assets on a relative fair value basis. Goodwill is not recognized in an asset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transaction is determined to be a business combination, all tangible and intangible assets acquired, and liabilities assumed, including contingent consideration, are recorded at fair value. Goodwill is recognized for any difference between the consideration transferred and the fair value of the net identifiable assets. Direct transaction costs in connection with business combinations are expensed as incurred, rather than capitalized as a component of the cost of the assets in an asset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Indefinite-lived intangible assets are not subject to amortization and are tested for impairment at least annually, or more frequently if events or changes in circumstances indicate that the assets may be impaired. The annual impairment test for indefinite-lived intangible assets may be completed through a qualitative assessment to determine if the fair value of the indefinite-lived intangible assets is more likely than not greater than the carrying value. The Company may elect to bypass the qualitative assessment, or if a qualitative assessment indicates it is more likely than not that the carrying value exceeds the fair value, the Company will test for impairment using a quantitative test. If the Company determines that impairment of its intangible assets may exist, the amount of impairment loss is measured as the excess of carrying value over fair value. The Company has not recorded any impairment charges during the years ended December 31, 2025, and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Indefinite-lived intangible assets are included in other assets in the consolidated balance sheets.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dollar is the functional currency of the Company and its subsidiaries. Monetary assets and liabilities denominated in foreign currencies are revalued at the prevailing exchange rate at the balance sheet date, and revenues and expenses denominated in foreign currencies are translated at the prevailing exchange rate on the transaction date, with the resulting foreign exchange gains or losses included in the consolidated statements of operations. Non-monetary assets and liabilities denominated in foreign currencies are translated at the prevailing exchange rate on the transaction date and are not subsequently revalued or remeasured.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subsidiaries of the Company operate in jurisdictions where they are subject to taxation. Current and deferred income taxes are charged or credited to net income, or in certain cases to AOCI, based on enacted tax laws and rates applicable in the relevant jurisdiction in the period in which the tax becomes accruable or realizable. Deferred income taxes are provided for all temporary differences between the bases of assets and liabilities used in the consolidated balance sheets and those used in the various jurisdictional tax returns.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against deferred tax assets is recorded if it is more likely than not that all, or some portion, of the benefits related to deferred tax assets will not be realized. Adjustments to the valuation allowance are reflected in the consolidated statements of operations when there are changes in circumstances that causes a change in judgment about realizability.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the tax benefits of uncertain tax positions only when the position is more-likely-than-not to be sustained on audit by the relevant taxing authorities. As of December 31, 2025, and December 31, 2024, the Company had no unrecognized tax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2023, the Bermuda government enacted tax legislation referred to as the Bermuda Corporate Income Tax Act 2023 (“Bermuda CIT”). The Bermuda CIT establishes a 15% corporate income tax, for in-scope businesses, for fiscal years beginning on or after January 1, 2025. The enacted legislation includes a provision referred to as the Economic Transition Adjustment (“ETA”), which requires Bermuda Constituent entities to establish tax basis in their assets and liabilities, excluding goodwill, based on fair value as of September 30, 2023. Fair value is defined as the price that would be received to sell an asset or paid to transfer a liability in an orderly transaction between market participants at the measurement date. See note 14, "Income Taxes"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expenses for operating leases on a straight-line basis over the lease term. The Company recognizes assets and liabilities associated with leases in the consolidated balance sheets. The Company does not record an asset or liability for leases with an initial term of 12 months or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 and the lease liability are recorded in other assets and other liabilities, respectively,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cost or amortized cost, gross unrealized gains and losses, fair value and credit allowance of the Company’s AFS fixed maturity securities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7258" w:type="dxa"/>
        <w:jc w:val="left"/>
        <w:tblInd w:w="0" w:type="dxa"/>
        <w:tblLayout w:type="fixed"/>
        <w:tblCellMar>
          <w:top w:w="0" w:type="dxa"/>
          <w:left w:w="0" w:type="dxa"/>
          <w:bottom w:w="28" w:type="dxa"/>
          <w:right w:w="0" w:type="dxa"/>
        </w:tblCellMar>
      </w:tblPr>
      <w:tblGrid>
        <w:gridCol w:w="1790"/>
        <w:gridCol w:w="60"/>
        <w:gridCol w:w="125"/>
        <w:gridCol w:w="845"/>
        <w:gridCol w:w="60"/>
        <w:gridCol w:w="60"/>
        <w:gridCol w:w="173"/>
        <w:gridCol w:w="821"/>
        <w:gridCol w:w="60"/>
        <w:gridCol w:w="60"/>
        <w:gridCol w:w="160"/>
        <w:gridCol w:w="834"/>
        <w:gridCol w:w="80"/>
        <w:gridCol w:w="60"/>
        <w:gridCol w:w="125"/>
        <w:gridCol w:w="845"/>
        <w:gridCol w:w="60"/>
        <w:gridCol w:w="60"/>
        <w:gridCol w:w="551"/>
        <w:gridCol w:w="354"/>
        <w:gridCol w:w="75"/>
      </w:tblGrid>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or </w:t>
              <w:br/>
              <w:t xml:space="preserve">Amortized </w:t>
              <w:br/>
              <w:t>Cost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Gains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Losses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Credit </w:t>
              <w:br/>
              <w:t>Allowance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jc w:val="left"/>
              <w:rPr/>
            </w:pPr>
            <w:r>
              <w:rPr/>
              <w:t> </w:t>
            </w:r>
          </w:p>
        </w:tc>
        <w:tc>
          <w:tcPr>
            <w:tcW w:w="82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1"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162,501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836,913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830,623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1,121,579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2,587,814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2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38,738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2,610,599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7258" w:type="dxa"/>
        <w:jc w:val="left"/>
        <w:tblInd w:w="0" w:type="dxa"/>
        <w:tblLayout w:type="fixed"/>
        <w:tblCellMar>
          <w:top w:w="0" w:type="dxa"/>
          <w:left w:w="0" w:type="dxa"/>
          <w:bottom w:w="28" w:type="dxa"/>
          <w:right w:w="0" w:type="dxa"/>
        </w:tblCellMar>
      </w:tblPr>
      <w:tblGrid>
        <w:gridCol w:w="1790"/>
        <w:gridCol w:w="60"/>
        <w:gridCol w:w="125"/>
        <w:gridCol w:w="845"/>
        <w:gridCol w:w="60"/>
        <w:gridCol w:w="60"/>
        <w:gridCol w:w="203"/>
        <w:gridCol w:w="791"/>
        <w:gridCol w:w="60"/>
        <w:gridCol w:w="60"/>
        <w:gridCol w:w="160"/>
        <w:gridCol w:w="834"/>
        <w:gridCol w:w="80"/>
        <w:gridCol w:w="60"/>
        <w:gridCol w:w="125"/>
        <w:gridCol w:w="845"/>
        <w:gridCol w:w="60"/>
        <w:gridCol w:w="60"/>
        <w:gridCol w:w="551"/>
        <w:gridCol w:w="354"/>
        <w:gridCol w:w="75"/>
      </w:tblGrid>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or </w:t>
              <w:br/>
              <w:t xml:space="preserve">Amortized </w:t>
              <w:br/>
              <w:t>Cost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Gains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Gross </w:t>
              <w:br/>
              <w:t xml:space="preserve">Unrealized </w:t>
              <w:br/>
              <w:t>Losses</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Credit </w:t>
              <w:br/>
              <w:t>Allowance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left"/>
              <w:rPr/>
            </w:pPr>
            <w:r>
              <w:rPr/>
              <w:t> </w:t>
            </w:r>
          </w:p>
        </w:tc>
        <w:tc>
          <w:tcPr>
            <w:tcW w:w="79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0" w:type="dxa"/>
            <w:tcBorders/>
            <w:shd w:fill="CCEEFF" w:val="clear"/>
            <w:tcMar>
              <w:bottom w:w="0" w:type="dxa"/>
            </w:tcMar>
            <w:vAlign w:val="center"/>
          </w:tcPr>
          <w:p>
            <w:pPr>
              <w:pStyle w:val="TableContents"/>
              <w:bidi w:val="0"/>
              <w:spacing w:before="0" w:after="283"/>
              <w:jc w:val="left"/>
              <w:rPr/>
            </w:pPr>
            <w:r>
              <w:rPr/>
              <w:t> </w:t>
            </w:r>
          </w:p>
        </w:tc>
        <w:tc>
          <w:tcPr>
            <w:tcW w:w="834"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51" w:type="dxa"/>
            <w:tcBorders/>
            <w:shd w:fill="CCEEFF" w:val="clear"/>
            <w:tcMar>
              <w:bottom w:w="0" w:type="dxa"/>
            </w:tcMar>
            <w:vAlign w:val="center"/>
          </w:tcPr>
          <w:p>
            <w:pPr>
              <w:pStyle w:val="TableContents"/>
              <w:bidi w:val="0"/>
              <w:spacing w:before="0" w:after="283"/>
              <w:jc w:val="left"/>
              <w:rPr/>
            </w:pPr>
            <w:r>
              <w:rPr/>
              <w:t> </w:t>
            </w:r>
          </w:p>
        </w:tc>
        <w:tc>
          <w:tcPr>
            <w:tcW w:w="354"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210,503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288,730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498,821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479,107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908,015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(10,109</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902,711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6,384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1,949,357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3"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7,564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(34,725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1,922,196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51"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or amortized cost and estimated fair values of AFS fixed maturity securities, by remaining maturity are presented below. Expected maturities could differ from contractual maturities because borrowers may have the right to call or prepay obligations with or without call or prepayment penalties.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614" w:type="dxa"/>
        <w:jc w:val="left"/>
        <w:tblInd w:w="0" w:type="dxa"/>
        <w:tblLayout w:type="fixed"/>
        <w:tblCellMar>
          <w:top w:w="0" w:type="dxa"/>
          <w:left w:w="0" w:type="dxa"/>
          <w:bottom w:w="28" w:type="dxa"/>
          <w:right w:w="0" w:type="dxa"/>
        </w:tblCellMar>
      </w:tblPr>
      <w:tblGrid>
        <w:gridCol w:w="3050"/>
        <w:gridCol w:w="60"/>
        <w:gridCol w:w="172"/>
        <w:gridCol w:w="1167"/>
        <w:gridCol w:w="60"/>
        <w:gridCol w:w="60"/>
        <w:gridCol w:w="125"/>
        <w:gridCol w:w="845"/>
        <w:gridCol w:w="75"/>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3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Cost or </w:t>
              <w:br/>
              <w:t>Amortized Cost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in one year or less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159,332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159,157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one year through five years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646,502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654,490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five years through ten years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526,298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543,257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ten years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43,447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1,375,538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1,400,351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 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788,470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782,897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2,587,814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2,610,599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and unrealized losses of the Company’s AFS fixed maturity securities, aggregated by investment category and length of time that individual securities were in a continuous unrealized loss position, for which no valuation allowance for expected credit loss has been recorded, as of the dates indicated:</w:t>
      </w:r>
    </w:p>
    <w:p>
      <w:pPr>
        <w:pStyle w:val="TextBody"/>
        <w:bidi w:val="0"/>
        <w:spacing w:before="0" w:after="0"/>
        <w:ind w:left="0" w:right="0" w:hanging="0"/>
        <w:jc w:val="left"/>
        <w:rPr>
          <w:caps w:val="false"/>
          <w:smallCaps w:val="false"/>
        </w:rPr>
      </w:pPr>
      <w:r>
        <w:rPr>
          <w:caps w:val="false"/>
          <w:smallCaps w:val="false"/>
        </w:rPr>
        <w:t> </w:t>
      </w:r>
    </w:p>
    <w:tbl>
      <w:tblPr>
        <w:tblW w:w="8377" w:type="dxa"/>
        <w:jc w:val="left"/>
        <w:tblInd w:w="0" w:type="dxa"/>
        <w:tblLayout w:type="fixed"/>
        <w:tblCellMar>
          <w:top w:w="0" w:type="dxa"/>
          <w:left w:w="0" w:type="dxa"/>
          <w:bottom w:w="0" w:type="dxa"/>
          <w:right w:w="0" w:type="dxa"/>
        </w:tblCellMar>
      </w:tblPr>
      <w:tblGrid>
        <w:gridCol w:w="1790"/>
        <w:gridCol w:w="60"/>
        <w:gridCol w:w="142"/>
        <w:gridCol w:w="792"/>
        <w:gridCol w:w="64"/>
        <w:gridCol w:w="64"/>
        <w:gridCol w:w="185"/>
        <w:gridCol w:w="809"/>
        <w:gridCol w:w="80"/>
        <w:gridCol w:w="60"/>
        <w:gridCol w:w="142"/>
        <w:gridCol w:w="792"/>
        <w:gridCol w:w="60"/>
        <w:gridCol w:w="60"/>
        <w:gridCol w:w="160"/>
        <w:gridCol w:w="834"/>
        <w:gridCol w:w="80"/>
        <w:gridCol w:w="60"/>
        <w:gridCol w:w="142"/>
        <w:gridCol w:w="792"/>
        <w:gridCol w:w="60"/>
        <w:gridCol w:w="60"/>
        <w:gridCol w:w="160"/>
        <w:gridCol w:w="834"/>
        <w:gridCol w:w="9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12 months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Months or More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December 31,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13,341</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80,427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228,833</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380,740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85,421</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409,870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264,358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674,228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8413" w:type="dxa"/>
        <w:jc w:val="left"/>
        <w:tblInd w:w="0" w:type="dxa"/>
        <w:tblLayout w:type="fixed"/>
        <w:tblCellMar>
          <w:top w:w="0" w:type="dxa"/>
          <w:left w:w="0" w:type="dxa"/>
          <w:bottom w:w="0" w:type="dxa"/>
          <w:right w:w="0" w:type="dxa"/>
        </w:tblCellMar>
      </w:tblPr>
      <w:tblGrid>
        <w:gridCol w:w="1790"/>
        <w:gridCol w:w="60"/>
        <w:gridCol w:w="142"/>
        <w:gridCol w:w="792"/>
        <w:gridCol w:w="64"/>
        <w:gridCol w:w="64"/>
        <w:gridCol w:w="185"/>
        <w:gridCol w:w="809"/>
        <w:gridCol w:w="80"/>
        <w:gridCol w:w="60"/>
        <w:gridCol w:w="142"/>
        <w:gridCol w:w="792"/>
        <w:gridCol w:w="60"/>
        <w:gridCol w:w="60"/>
        <w:gridCol w:w="160"/>
        <w:gridCol w:w="834"/>
        <w:gridCol w:w="80"/>
        <w:gridCol w:w="60"/>
        <w:gridCol w:w="125"/>
        <w:gridCol w:w="845"/>
        <w:gridCol w:w="60"/>
        <w:gridCol w:w="60"/>
        <w:gridCol w:w="160"/>
        <w:gridCol w:w="834"/>
        <w:gridCol w:w="95"/>
      </w:tblGrid>
      <w:tr>
        <w:trPr/>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5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12 months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Months or More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0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December 31, 2024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74,667</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46,747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72,443</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86,935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189,947</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365,819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(20,495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356,455</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142,872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(5,907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499,327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16,448</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28,195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709,960</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(8,497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398,081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(26,228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1,108,041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(34,725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unrealized losses represented approximately 2.4% and 3.1% of the aggregate fair value of the related securities as of December 31, 2025, and December 31, 2024, respectively. The total gross unrealized losses are comprised of 448 and 869 individual securities as of December 31, 2025, and December 31, 2024, respectively. The Company concluded that for these securities, the gross unrealized losses during the years ended December 31, 2025, and December 31, 2024, were related to noncredit factors and therefore, did not recognize any credit-related losses during the related periods. Additionally, the Company currently does not intend to and is not required to sell these investments prior to an anticipated recovery in value.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gross realized gains and gross realized losses from sales of our AFS fixed maturity securities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6128" w:type="dxa"/>
        <w:jc w:val="left"/>
        <w:tblInd w:w="0" w:type="dxa"/>
        <w:tblLayout w:type="fixed"/>
        <w:tblCellMar>
          <w:top w:w="0" w:type="dxa"/>
          <w:left w:w="0" w:type="dxa"/>
          <w:bottom w:w="0" w:type="dxa"/>
          <w:right w:w="0" w:type="dxa"/>
        </w:tblCellMar>
      </w:tblPr>
      <w:tblGrid>
        <w:gridCol w:w="2555"/>
        <w:gridCol w:w="60"/>
        <w:gridCol w:w="305"/>
        <w:gridCol w:w="1334"/>
        <w:gridCol w:w="80"/>
        <w:gridCol w:w="60"/>
        <w:gridCol w:w="305"/>
        <w:gridCol w:w="1334"/>
        <w:gridCol w:w="95"/>
      </w:tblGrid>
      <w:tr>
        <w:trPr/>
        <w:tc>
          <w:tcPr>
            <w:tcW w:w="25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w:t>
              <w:br/>
              <w:t>December 31, 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w:t>
              <w:br/>
              <w:t>December 31, 2024</w:t>
            </w:r>
          </w:p>
        </w:tc>
        <w:tc>
          <w:tcPr>
            <w:tcW w:w="95" w:type="dxa"/>
            <w:tcBorders/>
            <w:vAlign w:val="center"/>
          </w:tcPr>
          <w:p>
            <w:pPr>
              <w:pStyle w:val="TableContents"/>
              <w:bidi w:val="0"/>
              <w:spacing w:before="0" w:after="283"/>
              <w:jc w:val="center"/>
              <w:rPr/>
            </w:pPr>
            <w:r>
              <w:rPr/>
              <w:t> </w:t>
            </w:r>
          </w:p>
        </w:tc>
      </w:tr>
      <w:tr>
        <w:trPr/>
        <w:tc>
          <w:tcPr>
            <w:tcW w:w="2555"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realized gains from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sz w:val="20"/>
              </w:rPr>
            </w:pPr>
            <w:r>
              <w:rPr>
                <w:sz w:val="20"/>
              </w:rPr>
              <w:t>$</w:t>
            </w:r>
          </w:p>
        </w:tc>
        <w:tc>
          <w:tcPr>
            <w:tcW w:w="1334" w:type="dxa"/>
            <w:tcBorders/>
            <w:shd w:fill="FFFFFF" w:val="clear"/>
            <w:vAlign w:val="center"/>
          </w:tcPr>
          <w:p>
            <w:pPr>
              <w:pStyle w:val="TableContents"/>
              <w:bidi w:val="0"/>
              <w:spacing w:before="0" w:after="283"/>
              <w:jc w:val="right"/>
              <w:rPr>
                <w:sz w:val="20"/>
              </w:rPr>
            </w:pPr>
            <w:r>
              <w:rPr>
                <w:sz w:val="20"/>
              </w:rPr>
              <w:t>84</w:t>
            </w:r>
          </w:p>
        </w:tc>
        <w:tc>
          <w:tcPr>
            <w:tcW w:w="9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realized losses from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sz w:val="20"/>
              </w:rPr>
            </w:pPr>
            <w:r>
              <w:rPr>
                <w:sz w:val="20"/>
              </w:rPr>
              <w:t>$</w:t>
            </w:r>
          </w:p>
        </w:tc>
        <w:tc>
          <w:tcPr>
            <w:tcW w:w="1334" w:type="dxa"/>
            <w:tcBorders/>
            <w:shd w:fill="CCEEFF" w:val="clear"/>
            <w:vAlign w:val="center"/>
          </w:tcPr>
          <w:p>
            <w:pPr>
              <w:pStyle w:val="TableContents"/>
              <w:bidi w:val="0"/>
              <w:spacing w:before="0" w:after="283"/>
              <w:jc w:val="right"/>
              <w:rPr>
                <w:sz w:val="20"/>
              </w:rPr>
            </w:pPr>
            <w:r>
              <w:rPr>
                <w:sz w:val="20"/>
              </w:rPr>
              <w:t>(1,182</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unrealized gains (losses) for the Company's available for sale ("AFS") fixed maturities, net of tax, as the date indicated:</w:t>
      </w:r>
    </w:p>
    <w:p>
      <w:pPr>
        <w:pStyle w:val="TextBody"/>
        <w:bidi w:val="0"/>
        <w:spacing w:before="0" w:after="0"/>
        <w:ind w:left="0" w:right="0" w:hanging="0"/>
        <w:jc w:val="left"/>
        <w:rPr>
          <w:caps w:val="false"/>
          <w:smallCaps w:val="false"/>
        </w:rPr>
      </w:pPr>
      <w:r>
        <w:rPr>
          <w:caps w:val="false"/>
          <w:smallCaps w:val="false"/>
        </w:rPr>
        <w:t> </w:t>
      </w:r>
    </w:p>
    <w:tbl>
      <w:tblPr>
        <w:tblW w:w="3719" w:type="dxa"/>
        <w:jc w:val="left"/>
        <w:tblInd w:w="0" w:type="dxa"/>
        <w:tblLayout w:type="fixed"/>
        <w:tblCellMar>
          <w:top w:w="0" w:type="dxa"/>
          <w:left w:w="0" w:type="dxa"/>
          <w:bottom w:w="0" w:type="dxa"/>
          <w:right w:w="0" w:type="dxa"/>
        </w:tblCellMar>
      </w:tblPr>
      <w:tblGrid>
        <w:gridCol w:w="1865"/>
        <w:gridCol w:w="60"/>
        <w:gridCol w:w="60"/>
        <w:gridCol w:w="286"/>
        <w:gridCol w:w="1353"/>
        <w:gridCol w:w="9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 2025</w:t>
            </w:r>
          </w:p>
        </w:tc>
        <w:tc>
          <w:tcPr>
            <w:tcW w:w="95" w:type="dxa"/>
            <w:tcBorders/>
            <w:vAlign w:val="center"/>
          </w:tcPr>
          <w:p>
            <w:pPr>
              <w:pStyle w:val="TableContents"/>
              <w:bidi w:val="0"/>
              <w:spacing w:before="0" w:after="283"/>
              <w:jc w:val="center"/>
              <w:rPr/>
            </w:pPr>
            <w:r>
              <w:rPr/>
              <w:t> </w:t>
            </w:r>
          </w:p>
        </w:tc>
      </w:tr>
      <w:tr>
        <w:trPr/>
        <w:tc>
          <w:tcPr>
            <w:tcW w:w="1865"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9"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unrealized gains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sz w:val="20"/>
              </w:rPr>
            </w:pPr>
            <w:r>
              <w:rPr>
                <w:sz w:val="20"/>
              </w:rPr>
              <w:t>$</w:t>
            </w:r>
          </w:p>
        </w:tc>
        <w:tc>
          <w:tcPr>
            <w:tcW w:w="1353" w:type="dxa"/>
            <w:tcBorders/>
            <w:shd w:fill="FFFFFF" w:val="clear"/>
            <w:vAlign w:val="center"/>
          </w:tcPr>
          <w:p>
            <w:pPr>
              <w:pStyle w:val="TableContents"/>
              <w:bidi w:val="0"/>
              <w:spacing w:before="0" w:after="283"/>
              <w:jc w:val="right"/>
              <w:rPr>
                <w:sz w:val="20"/>
              </w:rPr>
            </w:pPr>
            <w:r>
              <w:rPr>
                <w:sz w:val="20"/>
              </w:rPr>
              <w:t>22,785</w:t>
            </w:r>
          </w:p>
        </w:tc>
        <w:tc>
          <w:tcPr>
            <w:tcW w:w="9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8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53"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(3,217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unrealized gains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86" w:type="dxa"/>
            <w:tcBorders>
              <w:bottom w:val="double" w:sz="6"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1353"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19,568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net investment income are as follows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6728" w:type="dxa"/>
        <w:jc w:val="left"/>
        <w:tblInd w:w="0" w:type="dxa"/>
        <w:tblLayout w:type="fixed"/>
        <w:tblCellMar>
          <w:top w:w="0" w:type="dxa"/>
          <w:left w:w="0" w:type="dxa"/>
          <w:bottom w:w="0" w:type="dxa"/>
          <w:right w:w="0" w:type="dxa"/>
        </w:tblCellMar>
      </w:tblPr>
      <w:tblGrid>
        <w:gridCol w:w="3155"/>
        <w:gridCol w:w="60"/>
        <w:gridCol w:w="249"/>
        <w:gridCol w:w="1390"/>
        <w:gridCol w:w="80"/>
        <w:gridCol w:w="60"/>
        <w:gridCol w:w="286"/>
        <w:gridCol w:w="1353"/>
        <w:gridCol w:w="9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6" w:type="dxa"/>
            <w:tcBorders/>
            <w:shd w:fill="CCEEFF" w:val="clear"/>
            <w:vAlign w:val="center"/>
          </w:tcPr>
          <w:p>
            <w:pPr>
              <w:pStyle w:val="TableContents"/>
              <w:bidi w:val="0"/>
              <w:spacing w:before="0" w:after="283"/>
              <w:jc w:val="left"/>
              <w:rPr/>
            </w:pPr>
            <w:r>
              <w:rPr/>
              <w:t> </w:t>
            </w:r>
          </w:p>
        </w:tc>
        <w:tc>
          <w:tcPr>
            <w:tcW w:w="13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AFS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70,249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HTM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 cash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13,845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118,858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3"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85,235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investment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116,292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5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had restricted assets comprised of cash and cash equivalents and fixed maturity investments of $340.4 million and $328.2 million, respectively, that were pledged during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the sale of an asset or paid to transfer a liability in an orderly transaction between open market participants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"Fair Value Measurements and Disclosures" prescribes a fair value hierarchy that prioritizes the inputs to the respective valuation techniques used to measure fair value. The hierarchy gives the highest priority to unadjusted quoted prices in active markets for identical assets or liabilities (Level 1) and the lowest priority to valuation techniques that use at least one significant input that is unobservable (Level 3). The three levels of the fair value hierarchy are described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values determined by Level 1 inputs utilize unadjusted quoted prices obtained from active markets for identical assets or liabilities for which the Company has access at the measurement date. The fair value is determined by multiplying the quoted price by the quantity held by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Fair values determined by Level 2 inputs utilize attributes (other than quoted prices included in Level 1) that are observable for the asset or liability, either directly or indirectly. Level 2 inputs include quoted prices for similar assets and liabilities in active markets, and inputs other than quoted prices that are observable for the asset or liability, such as interest rates and yield curves that are observable at commonly quoted intervals, broker quotes and certain pricing indices; and</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Level 3 inputs are based all or in part on significant unobservable attributes for the asset or liability, and include situations where there is little, if any, market activity for the asset or liability. In these cases, significant management assumptions are used to establish management’s best estimate of the assumptions used by other market participants in determining the fair value of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of the asset. The Company’s assessment of the significance of a particular input to the fair value measurement in its entirety requires judgment, and the Company considers factors specific to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determine if a market is active or inactive for a security, a number of factors are considered, including, but not limited to, the spread between what a seller is asking for a security and what a buyer is bidding for the same security, the volume of trading activity for the security in question, the price of the security compared to its par value (for fixed maturity investments), and other factors that may be indicative of market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the valuation techniques, nor have there been any transfers into or out of Level 3 during the years presented in these consolidated financial statements. Below is a summary of the assets that are measured at fair value on a recurring basis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28" w:type="dxa"/>
          <w:right w:w="0" w:type="dxa"/>
        </w:tblCellMar>
      </w:tblPr>
      <w:tblGrid>
        <w:gridCol w:w="2045"/>
        <w:gridCol w:w="60"/>
        <w:gridCol w:w="395"/>
        <w:gridCol w:w="254"/>
        <w:gridCol w:w="60"/>
        <w:gridCol w:w="60"/>
        <w:gridCol w:w="125"/>
        <w:gridCol w:w="845"/>
        <w:gridCol w:w="60"/>
        <w:gridCol w:w="60"/>
        <w:gridCol w:w="395"/>
        <w:gridCol w:w="254"/>
        <w:gridCol w:w="60"/>
        <w:gridCol w:w="60"/>
        <w:gridCol w:w="125"/>
        <w:gridCol w:w="845"/>
        <w:gridCol w:w="75"/>
      </w:tblGrid>
      <w:tr>
        <w:trPr/>
        <w:tc>
          <w:tcPr>
            <w:tcW w:w="20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970"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75" w:type="dxa"/>
            <w:tcBorders/>
            <w:tcMar>
              <w:bottom w:w="0" w:type="dxa"/>
            </w:tcMar>
            <w:vAlign w:val="center"/>
          </w:tcPr>
          <w:p>
            <w:pPr>
              <w:pStyle w:val="TableContents"/>
              <w:bidi w:val="0"/>
              <w:spacing w:before="0" w:after="283"/>
              <w:jc w:val="center"/>
              <w:rPr/>
            </w:pPr>
            <w:r>
              <w:rPr/>
              <w:t> </w:t>
            </w:r>
          </w:p>
        </w:tc>
      </w:tr>
      <w:tr>
        <w:trPr/>
        <w:tc>
          <w:tcPr>
            <w:tcW w:w="2045" w:type="dxa"/>
            <w:tcBorders/>
            <w:shd w:fill="CCEEFF" w:val="clear"/>
            <w:tcMar>
              <w:bottom w:w="0" w:type="dxa"/>
            </w:tcMar>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163,511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830,623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830,623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bottom w:val="single" w:sz="8" w:space="0" w:color="000000"/>
            </w:tcBorders>
            <w:shd w:fill="CCEEFF" w:val="clear"/>
            <w:vAlign w:val="center"/>
          </w:tcPr>
          <w:p>
            <w:pPr>
              <w:pStyle w:val="TableContents"/>
              <w:bidi w:val="0"/>
              <w:spacing w:before="0" w:after="283"/>
              <w:jc w:val="left"/>
              <w:rPr/>
            </w:pPr>
            <w:r>
              <w:rPr/>
              <w:t> </w:t>
            </w:r>
          </w:p>
        </w:tc>
        <w:tc>
          <w:tcPr>
            <w:tcW w:w="254" w:type="dxa"/>
            <w:tcBorders>
              <w:bottom w:val="single" w:sz="8" w:space="0" w:color="000000"/>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2,655,337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2,655,337</w:t>
            </w:r>
          </w:p>
        </w:tc>
        <w:tc>
          <w:tcPr>
            <w:tcW w:w="7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tbl>
      <w:tblPr>
        <w:tblW w:w="5778" w:type="dxa"/>
        <w:jc w:val="left"/>
        <w:tblInd w:w="0" w:type="dxa"/>
        <w:tblLayout w:type="fixed"/>
        <w:tblCellMar>
          <w:top w:w="0" w:type="dxa"/>
          <w:left w:w="0" w:type="dxa"/>
          <w:bottom w:w="28" w:type="dxa"/>
          <w:right w:w="0" w:type="dxa"/>
        </w:tblCellMar>
      </w:tblPr>
      <w:tblGrid>
        <w:gridCol w:w="2045"/>
        <w:gridCol w:w="60"/>
        <w:gridCol w:w="395"/>
        <w:gridCol w:w="254"/>
        <w:gridCol w:w="60"/>
        <w:gridCol w:w="60"/>
        <w:gridCol w:w="125"/>
        <w:gridCol w:w="845"/>
        <w:gridCol w:w="60"/>
        <w:gridCol w:w="60"/>
        <w:gridCol w:w="395"/>
        <w:gridCol w:w="254"/>
        <w:gridCol w:w="60"/>
        <w:gridCol w:w="60"/>
        <w:gridCol w:w="125"/>
        <w:gridCol w:w="845"/>
        <w:gridCol w:w="75"/>
      </w:tblGrid>
      <w:tr>
        <w:trPr/>
        <w:tc>
          <w:tcPr>
            <w:tcW w:w="20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4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pPr>
            <w:r>
              <w:rPr/>
              <w:t> </w:t>
            </w:r>
          </w:p>
        </w:tc>
        <w:tc>
          <w:tcPr>
            <w:tcW w:w="970" w:type="dxa"/>
            <w:gridSpan w:val="2"/>
            <w:tcBorders>
              <w:bottom w:val="single" w:sz="8" w:space="0" w:color="000000"/>
            </w:tcBorders>
            <w:vAlign w:val="center"/>
          </w:tcPr>
          <w:p>
            <w:pPr>
              <w:pStyle w:val="TableContents"/>
              <w:bidi w:val="0"/>
              <w:spacing w:before="0" w:after="283"/>
              <w:jc w:val="center"/>
              <w:rPr>
                <w:b/>
                <w:sz w:val="20"/>
              </w:rPr>
            </w:pPr>
            <w:r>
              <w:rPr>
                <w:b/>
                <w:sz w:val="20"/>
              </w:rPr>
              <w:t>Total</w:t>
            </w:r>
          </w:p>
        </w:tc>
        <w:tc>
          <w:tcPr>
            <w:tcW w:w="75" w:type="dxa"/>
            <w:tcBorders/>
            <w:tcMar>
              <w:bottom w:w="0" w:type="dxa"/>
            </w:tcMar>
            <w:vAlign w:val="center"/>
          </w:tcPr>
          <w:p>
            <w:pPr>
              <w:pStyle w:val="TableContents"/>
              <w:bidi w:val="0"/>
              <w:spacing w:before="0" w:after="283"/>
              <w:jc w:val="center"/>
              <w:rPr/>
            </w:pPr>
            <w:r>
              <w:rPr/>
              <w:t> </w:t>
            </w:r>
          </w:p>
        </w:tc>
      </w:tr>
      <w:tr>
        <w:trPr/>
        <w:tc>
          <w:tcPr>
            <w:tcW w:w="2045" w:type="dxa"/>
            <w:tcBorders/>
            <w:shd w:fill="CCEEFF" w:val="clear"/>
            <w:tcMar>
              <w:bottom w:w="0" w:type="dxa"/>
            </w:tcMar>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5"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sz w:val="20"/>
              </w:rPr>
            </w:pPr>
            <w:r>
              <w:rPr>
                <w:sz w:val="20"/>
              </w:rPr>
              <w:t>$</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208,414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289,259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479,107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479,107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902,711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902,711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1,922,196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1,922,196</w:t>
            </w:r>
          </w:p>
        </w:tc>
        <w:tc>
          <w:tcPr>
            <w:tcW w:w="7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 and 3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Level 1 or 3 securities as of December 31, 2025, and December 31, 2024, respectively.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Level 2 securities using various observable market inputs obtained from a pricing service. The pricing service prepares estimates of fair value measurements for the Company’s Level 2 securities using proprietary valuation models based on techniques such as matrix pricing which include observable market inputs. The fair value measurements and disclosures guidance defines observable market inputs as the assumptions market participants would use in pricing the asset or liability developed on market data obtained from sources independent of the Company. The extent of the use of each observable market input for a security depends on the type of security and the market conditions at the balance sheet date. Depending on the security, the priority of the use of observable market inputs may change as some observable market inputs may not be relevant or additional inputs may be necessary. The Company uses the following observable market inputs (“standard inputs”), listed in the approximate order of priority, in the pricing evaluation of Level 2 securities: benchmark yields, reported trades, broker/dealer quotes, issuer spreads, two-sided markets, benchmark securities, bids, offers and reference data including market research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significant inputs generally used to determine the fair value of the Company’s fixed maturity securities by asset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 government and government agency securities</w:t>
      </w:r>
      <w:r>
        <w:rPr>
          <w:rFonts w:ascii="Times New Roman;Times;Serif" w:hAnsi="Times New Roman;Times;Serif"/>
          <w:b w:val="false"/>
          <w:i w:val="false"/>
          <w:caps w:val="false"/>
          <w:smallCaps w:val="false"/>
          <w:sz w:val="20"/>
        </w:rPr>
        <w:t xml:space="preserve"> – U.S. government and government agencies and authorities’ securities are priced by the Company’s independent pricing service utilizing standard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Asset-backed securities</w:t>
      </w:r>
      <w:r>
        <w:rPr>
          <w:rFonts w:ascii="Times New Roman;Times;Serif" w:hAnsi="Times New Roman;Times;Serif"/>
          <w:b w:val="false"/>
          <w:i w:val="false"/>
          <w:caps w:val="false"/>
          <w:smallCaps w:val="false"/>
          <w:sz w:val="20"/>
        </w:rPr>
        <w:t xml:space="preserve"> – valuations provided by independent pricing services, substantially all through index providers and pricing vendors with an immaterial amount through broker-dealers. The fair values of these securities are generally determined through the use of pricing models which use spreads to determine the appropriate average life of the securities. These spreads are generally obtained from the new issue market, secondary trading and from broker-dealers who trade in the relevant security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 Corporate securities</w:t>
      </w:r>
      <w:r>
        <w:rPr>
          <w:rFonts w:ascii="Times New Roman;Times;Serif" w:hAnsi="Times New Roman;Times;Serif"/>
          <w:b w:val="false"/>
          <w:i w:val="false"/>
          <w:caps w:val="false"/>
          <w:smallCaps w:val="false"/>
          <w:sz w:val="20"/>
        </w:rPr>
        <w:t xml:space="preserve"> – valuations provided by independent pricing services, substantially all through index providers and pricing vendors with an immaterial amount through broker-dealers. The fair values of these securities are generally determined using the spread above the risk-free yield curve. These spreads are generally obtained from the new issue market, secondary trading and from broker-dealers who trade in the relevant security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government securities</w:t>
      </w:r>
      <w:r>
        <w:rPr>
          <w:rFonts w:ascii="Times New Roman;Times;Serif" w:hAnsi="Times New Roman;Times;Serif"/>
          <w:b w:val="false"/>
          <w:i w:val="false"/>
          <w:caps w:val="false"/>
          <w:smallCaps w:val="false"/>
          <w:sz w:val="20"/>
        </w:rPr>
        <w:t xml:space="preserve"> – valuations provided by independent pricing services, with all prices provided through index providers and pricing vendors. The fair values of these securities are generally based on international indices or valuation models which include daily observed yield curves, cross-currency basis index spreads and country credit spreads.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Municipal securities</w:t>
      </w:r>
      <w:r>
        <w:rPr>
          <w:rFonts w:ascii="Times New Roman;Times;Serif" w:hAnsi="Times New Roman;Times;Serif"/>
          <w:b w:val="false"/>
          <w:i w:val="false"/>
          <w:caps w:val="false"/>
          <w:smallCaps w:val="false"/>
          <w:sz w:val="20"/>
        </w:rPr>
        <w:t xml:space="preserve"> – valuations provided by independent pricing services, with all prices provided through index providers and pricing vendors. The fair values of these securities are generally determined using spreads obtained from broker dealers who trade in the relevant security market, trade prices and the new issue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Short-term investments</w:t>
      </w:r>
      <w:r>
        <w:rPr>
          <w:rFonts w:ascii="Times New Roman;Times;Serif" w:hAnsi="Times New Roman;Times;Serif"/>
          <w:b w:val="false"/>
          <w:i w:val="false"/>
          <w:caps w:val="false"/>
          <w:smallCaps w:val="false"/>
          <w:sz w:val="20"/>
        </w:rPr>
        <w:t xml:space="preserve"> - valuations provided by independent pricing services, generally determined using the spread above the risk-free yield curve.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models used by independent pricing services can change from period to period, depending on the appropriate observable inputs that are available at the balance sheet date to price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 Disclosed, But Not Carried,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financial instruments in the normal course of its business. The Company’s (re)insurance contracts are excluded from the fair value of financial instruments accounting guidance, unless the Company elects the fair value option. The carrying values of cash and cash equivalents, accrued investment income, certain other assets, certain other liabilities, and other financial instruments approximated their fair values. The fair value of the fixed maturity security HTM was $9.5 million and $10.5 million, respectively, as of December 31, 2025 and December 31, 2024. The fair value was based on an internal model that incorporates maturity date (expected in 2028), scheduled interest payments and a net present value factor, and is considered a Level 3 measurement.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assets on a non-recurring basis, generally quarterly, annually or when events or changes in circumstances indicate that the carrying amount of the assets may not be recoverable. These assets include certain fixed assets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Variable Interest Entities and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AdVantage Reinsurance Bermuda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14, 2020, AdVantage Reinsurance Bermuda Ltd. (f/k/a AdVantage Retro I Ltd.) (“AdVantage”) was incorporated under the laws of Bermuda and is a registered Collateralized Insurer and Segregated Accounts Company. AdVantage operates utilizing segregated accounts to maintain separation of investor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is considered a VIE because it has equity at risk with non-substantive 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AV0001 and AV0002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January 1, 2024, the Company held a 50% participating, non-voting interest in two segregated accounts ("AV0001" and "AV0002") which are considered VIE's. During 2024, AV0001 and AV0002 completed a novation agreement whereby AV0002 agreed to assume all rights and obligations from AV0001. Following such novation, AV0001 was dissolved. At each of December 31, 2024 and December 31, 2025, the Company held a 50% participating, non-voting interest in AV0002.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and December 31, 2024, the Company is the primary beneficiary of AV0002, and it has power over the activities that most significantly impact the economic performance of the account. As a result, the Company consolidates AV0002, and all intercompany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consolidated balance sheet included total assets and liabilities attributable to AV0002 of $30.2 million (including $23.7 million of cash and cash equivalents) and $13.7 million respectively. As of December 31, 2024, the Company’s consolidated balance sheet included total assets and liabilities attributable to AV0002 of $34.2 million (including $23.2 million of cash and cash equivalents) and $27.1 million, respectively. The results of AV0002 are recorded a quarter in arrears due to the availability of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portion of AV0002 equity attributable to third party investors in the shareholders’ equity section of its consolidated balance sheets as noncontrolling interest. The noncontrolling ownership in AV0002 preference shares was approximately 50% at December 31, 2025 and December 31, 2024. The portion of AV0002 income attributable to third party investors is recorded in the consolidated statements of operations in net income attributable to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AV0003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15, 2022, AdVantage formed segregated account AV0003 (“AV0003”) in connection with a new Subscription and Shareholder Agreement with a Preference Shareholder (third-party investors). As of January 1, 2023, VRL sourced risk on behalf of AV0003 to match the risk and return appetite of the third-party investors pursuant to a Reinsurance Services Agreement among VRL, AV0003 and AdVantage. VRL receives compensation based on capital deployed and profits from AV0003. As of December 31, 2025, the separate quota share arrangement represented a variable interest of the Company in AV0003, however, the Company is not the primary beneficiary of AV0003 and therefore AV0003 is not consolidated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revenue components for VRL associated with AV0003:</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AV0003 cedes to VRL, and VRL assumes from AV0003 a 2.5% quota share of AV0003’s liabilities and premiums under each reinsurance agreement entered into by AV0003 that is sourced by VRL pursuant to the Reinsurance Services Agreement, subject to a cap.</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VRL provides certain underwriting and related services to AV0003 and AV0003 paid VRL a fixed quarterly fee based on AV0003’s share capital and reinsurance capital deployed.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AV0003 also pays VRL a variable fee based on AV0003’s performance calculated six months following the earlier of (i) the end of the last-expiring risk period under all reinsurance agreements and (ii) commutation of all reinsurance agreements. This variable fee is trued up every six months thereafter until final amounts are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2.5% quota share contract is recorded as assumed premiums and recognized ratably over the contract term of the underlying reinsurance agreements. The quarterly fees for services provided to AV0003 were recognized over time in the period the services were provided on a proportional basis that corresponds to the time elapsed on the underlying reinsurance contract term. The variable fee was considered fully constrained and thus the transaction price at inception was zero. Management revisited this estimate at the reporting date and accrued for fees likely to be achievable.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earned premiums include $— million related to the 2.5% quota share, while fee and other income (losses) includes $(0.2) million related to fixed and variable fees. For the year ended December 31, 2024, net earned premiums include $1.9 million related to the 2.5% quota share, while fee and other income includes $3.1 million related to fixed and variable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AV0004 and AV0005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formed segregated accounts AV0004 (“AV0004”) and AV0005 (“AV0005” and each of AV0004 and AV0005, a “Segregated Account”) in connection with third-party investors on November 15, 2023 and November 1, 2024, respectively. Pursuant to separate Reinsurance Services Agreements among an applicable Segregated Account, AdVantage, VRL and AdVantage Capital Advisors, a registered and licensed insurance agent in Bermuda (“ACA”), VRL (in the case of AV0004 only) and ACA sourced risk on behalf of such Segregated Account, to match the risk and return appetite of the applicable third-party investors. As of December 31, 2025, separate quota share arrangements between each Segregated Account and VRL represented a variable interest of the Company in AV0004 and AV0005; however, the Company is not the primary beneficiary of AV0004 or AV0005, so they are not consolidated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revenue components for the Company associated with AV0004 and AV0005:</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AV0004 and AV0005 cede to VRL, and VRL assumes from them a 2.2% quota share of AV0004 and AV0005’s liabilities and premiums under each reinsurance agreement entered into by AV0004 and AV0005 that is sourced by VRL or ACA pursuant to the Reinsurance Services Agreement, subject to a cap.</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VRL and ACA provide certain underwriting and related services to AV0004 and ACA provides certain underwriting services to AV0005, and each Segregated Account pays VRL and/or ACA, as applicable, a fixed quarterly fee based on such Segregated Account’s share capital and reinsurance capital deployed.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AV0004 and AV0005 may also pay VRL and/or ACA, as applicable, a variable fee based on their performance calculated one month following the earlier of (i) the end of the last-expiring risk period under all relevant reinsurance agreements and (ii) commutation of all relevant reinsurance agreements. This variable fee will be trued up every three months thereafter until final amounts are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2.2% quota share contracts are recorded as assumed premiums and recognized ratably over the term of the underlying reinsurance agreements. The quarterly fees for services provided to AV0004 and AV0005 are recognized over time in the period the relevant services are provided on a proportional basis that corresponds to the time elapsed on the applicable underlying reinsurance contract term. The variable fee was considered fully constrained and thus the transaction price at inception was zero. Management revisited this estimate at the reporting date and accrued for fees likely to be achievable.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net earned premiums include $2.3 million related to the AV0004 and $11.0 million related to the AV0005 2.2% quota share agreements. For the year ended December 31, 2025, fee and other income (losses) includes $(13.4) million related to fixed and variable fees related to AV0004, and $39.8 million related to AV0005. For the year ended December 31, 2024, net earned premiums related to AV0004 include $11.5 million related to the 2.2% quota share, while fee and other income includes $44.3 million related to fixed and variable fees.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AdVantage is an independent company, the assets of AdVantage can be used only to settle obligations of AdVantage and AdVantage is solely responsible for its own liabilities and commitments. The Company’s financial exposure to AdVantage is limited to its investment in AdVantage’s preference shares, VRL’s participation on a stop-loss reinsurance arrangement provided to AV0002, VRL’s quota share arrangements provided to AV0003, AV0004 and AV0005, and counterparty credit risk (mitigated by collateral) arising from certain reinsurance cessions from VRL to AV0002. The Company has not provided any financial or other support to AdVantage that it is not contractually required to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Reserves for claims and claim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most significant accounting judgment made by management is its estimate of claims and claim expense reserves. Claims and claim expense reserves comprise case and IBNR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claims and claim expense reserves are estimates, the Company’s actual losses incurred may be more or less than the Company’s previously developed estimates, which is referred to as either unfavorable or favorable development,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claims and claim expense reserves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89"/>
        <w:gridCol w:w="60"/>
        <w:gridCol w:w="199"/>
        <w:gridCol w:w="1360"/>
        <w:gridCol w:w="80"/>
        <w:gridCol w:w="60"/>
        <w:gridCol w:w="199"/>
        <w:gridCol w:w="1360"/>
        <w:gridCol w:w="98"/>
      </w:tblGrid>
      <w:tr>
        <w:trPr/>
        <w:tc>
          <w:tcPr>
            <w:tcW w:w="67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5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98"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for claims and claim expenses, as of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1,423,343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940,403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as of beginning of year</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262,189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net of reinsurance recoverable, as of 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1,044,688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678,214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incurred during the year related to:</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516,358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(18,833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7,899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losses incurred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616,216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524,257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paid during the year related to:</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360"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30,706</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188,732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124,302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losses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245,881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155,008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losses (gains)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(2,775</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net of reinsurance recoverable, as of 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1,424,697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1,044,688</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as of end of year</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378,655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8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as of end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1,942,748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1,423,343</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3"/>
        <w:gridCol w:w="9915"/>
      </w:tblGrid>
      <w:tr>
        <w:trPr/>
        <w:tc>
          <w:tcPr>
            <w:tcW w:w="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283"/>
              <w:jc w:val="left"/>
              <w:rPr/>
            </w:pPr>
            <w:r>
              <w:rPr/>
              <w:t>Reflects the impact of the foreign exchange revaluation of the reserve for claims and claim expenses, net of reinsurance recoverable, denominated in non-U.S. dollars as at the balance sheet date.</w:t>
            </w:r>
          </w:p>
        </w:tc>
      </w:tr>
    </w:tbl>
    <w:tbl>
      <w:tblPr>
        <w:tblW w:w="5000" w:type="pct"/>
        <w:jc w:val="left"/>
        <w:tblInd w:w="0" w:type="dxa"/>
        <w:tblLayout w:type="fixed"/>
        <w:tblCellMar>
          <w:top w:w="0" w:type="dxa"/>
          <w:left w:w="0" w:type="dxa"/>
          <w:bottom w:w="0" w:type="dxa"/>
          <w:right w:w="0" w:type="dxa"/>
        </w:tblCellMar>
      </w:tblPr>
      <w:tblGrid>
        <w:gridCol w:w="37"/>
        <w:gridCol w:w="265"/>
        <w:gridCol w:w="9903"/>
      </w:tblGrid>
      <w:tr>
        <w:trPr/>
        <w:tc>
          <w:tcPr>
            <w:tcW w:w="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(2)</w:t>
            </w:r>
          </w:p>
        </w:tc>
        <w:tc>
          <w:tcPr>
            <w:tcW w:w="9903" w:type="dxa"/>
            <w:tcBorders/>
            <w:vAlign w:val="center"/>
          </w:tcPr>
          <w:p>
            <w:pPr>
              <w:pStyle w:val="TableContents"/>
              <w:bidi w:val="0"/>
              <w:spacing w:before="0" w:after="283"/>
              <w:jc w:val="left"/>
              <w:rPr/>
            </w:pPr>
            <w:r>
              <w:rPr/>
              <w:t>Excludes reinsurance recoverable on paid losses of $13.4 million and $11.9 million as of December 31, 2025, and December 31, 2024,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had $18.8 million of favorable prior year reserve development, primarily related to reserve releases related to our AdVantage business, and various lines of business in our insurance and reinsurance segments, partially offset by reserve strengthening related to the military conflict between Russia and Ukraine.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incurred $18.2 million of catastrophe losses primarily related to the January California Wildfires.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had $7.9 million of unfavorable prior year reserve development, primarily related to our transaction liability business, partially offset by reserve releases related to Hurricane Ida and various lines of business in the reinsurance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incurred catastrophe losses primarily related to the Baltimore bridge collapse and Hurricanes Helene and Milton in the amount of $43.5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financial condition, results of operations or cash flows will be materially affected in future periods due to potential claims by (re)insureds.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Incurred and Paid Claims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information about incurred and paid claims development as of December 31, 2025, net of reinsurance, as well as cumulative claim frequency and the total of IBNR liabilities plus expected development on reported claims included within the net incurred claims amounts. Cumulative number of reported claims is reported on a per claim basis. The information about incurred and paid claims development for the years ended 2021 to 2024 is presented as unaudited supplementary information. Since 2021 was the first year of writing business, historical loss payouts for both the Insurance and Reinsurance segments are not considered to be meaningful and have not been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15"/>
        <w:gridCol w:w="60"/>
        <w:gridCol w:w="60"/>
        <w:gridCol w:w="161"/>
        <w:gridCol w:w="764"/>
        <w:gridCol w:w="77"/>
        <w:gridCol w:w="77"/>
        <w:gridCol w:w="161"/>
        <w:gridCol w:w="764"/>
        <w:gridCol w:w="77"/>
        <w:gridCol w:w="77"/>
        <w:gridCol w:w="161"/>
        <w:gridCol w:w="900"/>
        <w:gridCol w:w="77"/>
        <w:gridCol w:w="77"/>
        <w:gridCol w:w="161"/>
        <w:gridCol w:w="900"/>
        <w:gridCol w:w="77"/>
        <w:gridCol w:w="77"/>
        <w:gridCol w:w="181"/>
        <w:gridCol w:w="1037"/>
        <w:gridCol w:w="60"/>
        <w:gridCol w:w="60"/>
        <w:gridCol w:w="223"/>
        <w:gridCol w:w="1132"/>
        <w:gridCol w:w="65"/>
        <w:gridCol w:w="65"/>
        <w:gridCol w:w="135"/>
        <w:gridCol w:w="1339"/>
        <w:gridCol w:w="85"/>
      </w:tblGrid>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806" w:type="dxa"/>
            <w:gridSpan w:val="18"/>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5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 2025</w:t>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0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Ultimate Incurred Loss and Allocated Loss Adjustment Expenses, Net of Reinsurance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IBNR</w:t>
              <w:br/>
              <w:t>Liabilities Plus</w:t>
              <w:br/>
              <w:t>Expected</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65" w:type="dxa"/>
            <w:tcBorders/>
            <w:vAlign w:val="center"/>
          </w:tcPr>
          <w:p>
            <w:pPr>
              <w:pStyle w:val="TableContents"/>
              <w:bidi w:val="0"/>
              <w:spacing w:before="0" w:after="283"/>
              <w:jc w:val="center"/>
              <w:rPr>
                <w:caps w:val="false"/>
                <w:smallCaps w:val="false"/>
              </w:rPr>
            </w:pPr>
            <w:r>
              <w:rPr>
                <w:caps w:val="false"/>
                <w:smallCaps w:val="false"/>
              </w:rPr>
              <w:t> </w:t>
            </w:r>
          </w:p>
        </w:tc>
        <w:tc>
          <w:tcPr>
            <w:tcW w:w="1474" w:type="dxa"/>
            <w:gridSpan w:val="2"/>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0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Development</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Cumulative</w:t>
            </w:r>
          </w:p>
        </w:tc>
        <w:tc>
          <w:tcPr>
            <w:tcW w:w="85" w:type="dxa"/>
            <w:tcBorders/>
            <w:vAlign w:val="center"/>
          </w:tcPr>
          <w:p>
            <w:pPr>
              <w:pStyle w:val="TableContents"/>
              <w:bidi w:val="0"/>
              <w:spacing w:before="0" w:after="283"/>
              <w:jc w:val="center"/>
              <w:rPr/>
            </w:pPr>
            <w:r>
              <w:rPr/>
              <w:t> </w:t>
            </w:r>
          </w:p>
        </w:tc>
      </w:tr>
      <w:tr>
        <w:trPr/>
        <w:tc>
          <w:tcPr>
            <w:tcW w:w="11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3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355" w:type="dxa"/>
            <w:gridSpan w:val="2"/>
            <w:tcBorders/>
            <w:vAlign w:val="center"/>
          </w:tcPr>
          <w:p>
            <w:pPr>
              <w:pStyle w:val="TableContents"/>
              <w:bidi w:val="0"/>
              <w:spacing w:before="0" w:after="283"/>
              <w:jc w:val="center"/>
              <w:rPr>
                <w:b/>
              </w:rPr>
            </w:pPr>
            <w:r>
              <w:rPr>
                <w:b/>
              </w:rPr>
              <w:t>on</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474" w:type="dxa"/>
            <w:gridSpan w:val="2"/>
            <w:tcBorders/>
            <w:vAlign w:val="center"/>
          </w:tcPr>
          <w:p>
            <w:pPr>
              <w:pStyle w:val="TableContents"/>
              <w:bidi w:val="0"/>
              <w:spacing w:before="0" w:after="283"/>
              <w:jc w:val="center"/>
              <w:rPr>
                <w:b/>
              </w:rPr>
            </w:pPr>
            <w:r>
              <w:rPr>
                <w:b/>
              </w:rPr>
              <w:t>Number of</w:t>
            </w:r>
          </w:p>
        </w:tc>
        <w:tc>
          <w:tcPr>
            <w:tcW w:w="85" w:type="dxa"/>
            <w:tcBorders/>
            <w:vAlign w:val="center"/>
          </w:tcPr>
          <w:p>
            <w:pPr>
              <w:pStyle w:val="TableContents"/>
              <w:bidi w:val="0"/>
              <w:spacing w:before="0" w:after="283"/>
              <w:jc w:val="center"/>
              <w:rPr/>
            </w:pPr>
            <w:r>
              <w:rPr/>
              <w:t> </w:t>
            </w:r>
          </w:p>
        </w:tc>
      </w:tr>
      <w:tr>
        <w:trPr/>
        <w:tc>
          <w:tcPr>
            <w:tcW w:w="11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 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9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10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10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c>
          <w:tcPr>
            <w:tcW w:w="12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w:t>
              <w:br/>
              <w:t>Claims</w:t>
            </w:r>
          </w:p>
        </w:tc>
        <w:tc>
          <w:tcPr>
            <w:tcW w:w="65"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center"/>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 Claims</w:t>
            </w:r>
          </w:p>
        </w:tc>
        <w:tc>
          <w:tcPr>
            <w:tcW w:w="85" w:type="dxa"/>
            <w:tcBorders/>
            <w:vAlign w:val="center"/>
          </w:tcPr>
          <w:p>
            <w:pPr>
              <w:pStyle w:val="TableContents"/>
              <w:bidi w:val="0"/>
              <w:spacing w:before="0" w:after="283"/>
              <w:jc w:val="center"/>
              <w:rPr/>
            </w:pPr>
            <w:r>
              <w:rPr/>
              <w:t> </w:t>
            </w:r>
          </w:p>
        </w:tc>
      </w:tr>
      <w:tr>
        <w:trPr/>
        <w:tc>
          <w:tcPr>
            <w:tcW w:w="1115"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25"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925"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61"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061" w:type="dxa"/>
            <w:gridSpan w:val="2"/>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218"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5" w:type="dxa"/>
            <w:gridSpan w:val="2"/>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474" w:type="dxa"/>
            <w:gridSpan w:val="2"/>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12,197</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12,342</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13,084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10,396</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7,179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6,665</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95,539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96,948</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97,759</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52,633</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3,980</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190,892</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216,091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217,201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123,652</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9,065</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286,267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291,467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223,462</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15,267</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375,781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342,500</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17,751</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900"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1" w:type="dxa"/>
            <w:tcBorders/>
            <w:shd w:fill="CCEEFF" w:val="clear"/>
            <w:vAlign w:val="center"/>
          </w:tcPr>
          <w:p>
            <w:pPr>
              <w:pStyle w:val="TableContents"/>
              <w:bidi w:val="0"/>
              <w:spacing w:before="0" w:after="283"/>
              <w:jc w:val="left"/>
              <w:rPr>
                <w:sz w:val="4"/>
                <w:szCs w:val="4"/>
              </w:rPr>
            </w:pPr>
            <w:r>
              <w:rPr>
                <w:sz w:val="4"/>
                <w:szCs w:val="4"/>
              </w:rPr>
            </w:r>
          </w:p>
        </w:tc>
        <w:tc>
          <w:tcPr>
            <w:tcW w:w="900" w:type="dxa"/>
            <w:tcBorders/>
            <w:shd w:fill="CCEEFF" w:val="clear"/>
            <w:vAlign w:val="center"/>
          </w:tcPr>
          <w:p>
            <w:pPr>
              <w:pStyle w:val="TableContents"/>
              <w:bidi w:val="0"/>
              <w:spacing w:before="0" w:after="283"/>
              <w:jc w:val="left"/>
              <w:rPr>
                <w:sz w:val="4"/>
                <w:szCs w:val="4"/>
              </w:rPr>
            </w:pPr>
            <w:r>
              <w:rPr>
                <w:sz w:val="4"/>
                <w:szCs w:val="4"/>
              </w:rPr>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03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972,954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1339" w:type="dxa"/>
            <w:tcBorders/>
            <w:shd w:fill="CCEEFF" w:val="clear"/>
            <w:vAlign w:val="center"/>
          </w:tcPr>
          <w:p>
            <w:pPr>
              <w:pStyle w:val="TableContents"/>
              <w:bidi w:val="0"/>
              <w:spacing w:before="0" w:after="283"/>
              <w:jc w:val="right"/>
              <w:rPr/>
            </w:pPr>
            <w:r>
              <w:rPr/>
              <w:t> </w:t>
            </w:r>
          </w:p>
        </w:tc>
        <w:tc>
          <w:tcPr>
            <w:tcW w:w="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01" w:type="dxa"/>
        <w:jc w:val="left"/>
        <w:tblInd w:w="0" w:type="dxa"/>
        <w:tblLayout w:type="fixed"/>
        <w:tblCellMar>
          <w:top w:w="0" w:type="dxa"/>
          <w:left w:w="0" w:type="dxa"/>
          <w:bottom w:w="0" w:type="dxa"/>
          <w:right w:w="0" w:type="dxa"/>
        </w:tblCellMar>
      </w:tblPr>
      <w:tblGrid>
        <w:gridCol w:w="1441"/>
        <w:gridCol w:w="63"/>
        <w:gridCol w:w="63"/>
        <w:gridCol w:w="244"/>
        <w:gridCol w:w="657"/>
        <w:gridCol w:w="117"/>
        <w:gridCol w:w="117"/>
        <w:gridCol w:w="244"/>
        <w:gridCol w:w="951"/>
        <w:gridCol w:w="117"/>
        <w:gridCol w:w="117"/>
        <w:gridCol w:w="244"/>
        <w:gridCol w:w="951"/>
        <w:gridCol w:w="117"/>
        <w:gridCol w:w="117"/>
        <w:gridCol w:w="244"/>
        <w:gridCol w:w="1088"/>
        <w:gridCol w:w="110"/>
        <w:gridCol w:w="110"/>
        <w:gridCol w:w="258"/>
        <w:gridCol w:w="1476"/>
        <w:gridCol w:w="60"/>
        <w:gridCol w:w="60"/>
        <w:gridCol w:w="60"/>
        <w:gridCol w:w="60"/>
        <w:gridCol w:w="60"/>
        <w:gridCol w:w="60"/>
        <w:gridCol w:w="60"/>
        <w:gridCol w:w="60"/>
        <w:gridCol w:w="75"/>
      </w:tblGrid>
      <w:tr>
        <w:trPr/>
        <w:tc>
          <w:tcPr>
            <w:tcW w:w="1441"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7279" w:type="dxa"/>
            <w:gridSpan w:val="18"/>
            <w:tcBorders/>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60" w:type="dxa"/>
            <w:gridSpan w:val="6"/>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27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 Paid Loss and Allocated Loss Adjustment Expenses, Net of Reinsurance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441"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pPr>
            <w:r>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727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441" w:type="dxa"/>
            <w:tcBorders/>
            <w:vAlign w:val="center"/>
          </w:tcPr>
          <w:p>
            <w:pPr>
              <w:pStyle w:val="TableContents"/>
              <w:bidi w:val="0"/>
              <w:spacing w:before="0" w:after="283"/>
              <w:jc w:val="left"/>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532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1734"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44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 Year</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63" w:type="dxa"/>
            <w:tcBorders/>
            <w:vAlign w:val="center"/>
          </w:tcPr>
          <w:p>
            <w:pPr>
              <w:pStyle w:val="TableContents"/>
              <w:bidi w:val="0"/>
              <w:spacing w:before="0" w:after="283"/>
              <w:jc w:val="center"/>
              <w:rPr>
                <w:caps w:val="false"/>
                <w:smallCaps w:val="false"/>
              </w:rPr>
            </w:pPr>
            <w:r>
              <w:rPr>
                <w:caps w:val="false"/>
                <w:smallCaps w:val="false"/>
              </w:rPr>
              <w:t> </w:t>
            </w:r>
          </w:p>
        </w:tc>
        <w:tc>
          <w:tcPr>
            <w:tcW w:w="90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17" w:type="dxa"/>
            <w:tcBorders/>
            <w:vAlign w:val="center"/>
          </w:tcPr>
          <w:p>
            <w:pPr>
              <w:pStyle w:val="TableContents"/>
              <w:bidi w:val="0"/>
              <w:spacing w:before="0" w:after="283"/>
              <w:jc w:val="center"/>
              <w:rPr>
                <w:caps w:val="false"/>
                <w:smallCaps w:val="false"/>
              </w:rPr>
            </w:pPr>
            <w:r>
              <w:rPr>
                <w:caps w:val="false"/>
                <w:smallCaps w:val="false"/>
              </w:rPr>
              <w:t> </w:t>
            </w:r>
          </w:p>
        </w:tc>
        <w:tc>
          <w:tcPr>
            <w:tcW w:w="133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110" w:type="dxa"/>
            <w:tcBorders/>
            <w:vAlign w:val="center"/>
          </w:tcPr>
          <w:p>
            <w:pPr>
              <w:pStyle w:val="TableContents"/>
              <w:bidi w:val="0"/>
              <w:spacing w:before="0" w:after="283"/>
              <w:jc w:val="center"/>
              <w:rPr>
                <w:caps w:val="false"/>
                <w:smallCaps w:val="false"/>
              </w:rPr>
            </w:pPr>
            <w:r>
              <w:rPr>
                <w:caps w:val="false"/>
                <w:smallCaps w:val="false"/>
              </w:rPr>
              <w:t> </w:t>
            </w:r>
          </w:p>
        </w:tc>
        <w:tc>
          <w:tcPr>
            <w:tcW w:w="17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441" w:type="dxa"/>
            <w:tcBorders/>
            <w:shd w:fill="CCEEFF" w:val="clear"/>
            <w:vAlign w:val="center"/>
          </w:tcPr>
          <w:p>
            <w:pPr>
              <w:pStyle w:val="TableContents"/>
              <w:bidi w:val="0"/>
              <w:spacing w:before="0" w:after="283"/>
              <w:jc w:val="left"/>
              <w:rPr>
                <w:i/>
                <w:sz w:val="20"/>
              </w:rPr>
            </w:pPr>
            <w:r>
              <w:rPr>
                <w:i/>
                <w:sz w:val="20"/>
              </w:rPr>
              <w:t>($ in thousands)</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901" w:type="dxa"/>
            <w:gridSpan w:val="2"/>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195" w:type="dxa"/>
            <w:gridSpan w:val="2"/>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1332"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734" w:type="dxa"/>
            <w:gridSpan w:val="2"/>
            <w:tcBorders/>
            <w:shd w:fill="CCEE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3,411</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7,481</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14,901</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3,905</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26,456</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8,969</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657"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 </w:t>
            </w:r>
          </w:p>
        </w:tc>
        <w:tc>
          <w:tcPr>
            <w:tcW w:w="117"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108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44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657"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 </w:t>
            </w:r>
          </w:p>
        </w:tc>
        <w:tc>
          <w:tcPr>
            <w:tcW w:w="117"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4" w:type="dxa"/>
            <w:tcBorders/>
            <w:shd w:fill="CCEEFF" w:val="clear"/>
            <w:vAlign w:val="center"/>
          </w:tcPr>
          <w:p>
            <w:pPr>
              <w:pStyle w:val="TableContents"/>
              <w:bidi w:val="0"/>
              <w:spacing w:before="0" w:after="283"/>
              <w:jc w:val="left"/>
              <w:rPr>
                <w:sz w:val="4"/>
                <w:szCs w:val="4"/>
              </w:rPr>
            </w:pPr>
            <w:r>
              <w:rPr>
                <w:sz w:val="4"/>
                <w:szCs w:val="4"/>
              </w:rPr>
            </w:r>
          </w:p>
        </w:tc>
        <w:tc>
          <w:tcPr>
            <w:tcW w:w="1088"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pPr>
            <w:r>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476"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143,611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04" w:type="dxa"/>
            <w:gridSpan w:val="16"/>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liabilities prior to 2021, net of reinsurance</w:t>
            </w:r>
          </w:p>
        </w:tc>
        <w:tc>
          <w:tcPr>
            <w:tcW w:w="108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pPr>
            <w:r>
              <w:rPr/>
              <w:t> </w:t>
            </w:r>
          </w:p>
        </w:tc>
        <w:tc>
          <w:tcPr>
            <w:tcW w:w="2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04" w:type="dxa"/>
            <w:gridSpan w:val="16"/>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claims and claim adjustment expenses, net of reinsurance</w:t>
            </w:r>
          </w:p>
        </w:tc>
        <w:tc>
          <w:tcPr>
            <w:tcW w:w="10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8"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476"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829,343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95"/>
        <w:gridCol w:w="60"/>
        <w:gridCol w:w="60"/>
        <w:gridCol w:w="153"/>
        <w:gridCol w:w="857"/>
        <w:gridCol w:w="73"/>
        <w:gridCol w:w="73"/>
        <w:gridCol w:w="153"/>
        <w:gridCol w:w="857"/>
        <w:gridCol w:w="73"/>
        <w:gridCol w:w="73"/>
        <w:gridCol w:w="153"/>
        <w:gridCol w:w="857"/>
        <w:gridCol w:w="73"/>
        <w:gridCol w:w="73"/>
        <w:gridCol w:w="153"/>
        <w:gridCol w:w="857"/>
        <w:gridCol w:w="73"/>
        <w:gridCol w:w="73"/>
        <w:gridCol w:w="153"/>
        <w:gridCol w:w="1042"/>
        <w:gridCol w:w="60"/>
        <w:gridCol w:w="60"/>
        <w:gridCol w:w="280"/>
        <w:gridCol w:w="1085"/>
        <w:gridCol w:w="72"/>
        <w:gridCol w:w="72"/>
        <w:gridCol w:w="355"/>
        <w:gridCol w:w="1096"/>
        <w:gridCol w:w="91"/>
      </w:tblGrid>
      <w:tr>
        <w:trPr/>
        <w:tc>
          <w:tcPr>
            <w:tcW w:w="1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19" w:type="dxa"/>
            <w:gridSpan w:val="18"/>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6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 December 31, 2025</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1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Ultimate Incurred Loss and Allocated Loss Adjustment Expenses, Net of Reinsurance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IBNR</w:t>
              <w:br/>
              <w:t>Liabilities Plus</w:t>
              <w:br/>
              <w:t>Expected</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1451" w:type="dxa"/>
            <w:gridSpan w:val="2"/>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819"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5"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Development</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1451"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Cumulative</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9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478"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1365"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on</w:t>
            </w:r>
          </w:p>
        </w:tc>
        <w:tc>
          <w:tcPr>
            <w:tcW w:w="72" w:type="dxa"/>
            <w:tcBorders/>
            <w:vAlign w:val="center"/>
          </w:tcPr>
          <w:p>
            <w:pPr>
              <w:pStyle w:val="TableContents"/>
              <w:bidi w:val="0"/>
              <w:spacing w:before="0" w:after="283"/>
              <w:jc w:val="center"/>
              <w:rPr/>
            </w:pPr>
            <w:r>
              <w:rPr/>
              <w:t> </w:t>
            </w:r>
          </w:p>
        </w:tc>
        <w:tc>
          <w:tcPr>
            <w:tcW w:w="72" w:type="dxa"/>
            <w:tcBorders/>
            <w:vAlign w:val="center"/>
          </w:tcPr>
          <w:p>
            <w:pPr>
              <w:pStyle w:val="TableContents"/>
              <w:bidi w:val="0"/>
              <w:spacing w:before="0" w:after="283"/>
              <w:jc w:val="center"/>
              <w:rPr/>
            </w:pPr>
            <w:r>
              <w:rPr/>
              <w:t> </w:t>
            </w:r>
          </w:p>
        </w:tc>
        <w:tc>
          <w:tcPr>
            <w:tcW w:w="1451" w:type="dxa"/>
            <w:gridSpan w:val="2"/>
            <w:tcBorders/>
            <w:vAlign w:val="center"/>
          </w:tcPr>
          <w:p>
            <w:pPr>
              <w:pStyle w:val="TableContents"/>
              <w:bidi w:val="0"/>
              <w:spacing w:before="0" w:after="283"/>
              <w:jc w:val="center"/>
              <w:rPr>
                <w:b/>
                <w:i w:val="false"/>
                <w:caps w:val="false"/>
                <w:smallCaps w:val="false"/>
              </w:rPr>
            </w:pPr>
            <w:r>
              <w:rPr>
                <w:b/>
                <w:i w:val="false"/>
                <w:caps w:val="false"/>
                <w:smallCaps w:val="false"/>
              </w:rPr>
              <w:t>Number of</w:t>
            </w:r>
          </w:p>
        </w:tc>
        <w:tc>
          <w:tcPr>
            <w:tcW w:w="91" w:type="dxa"/>
            <w:tcBorders/>
            <w:vAlign w:val="center"/>
          </w:tcPr>
          <w:p>
            <w:pPr>
              <w:pStyle w:val="TableContents"/>
              <w:bidi w:val="0"/>
              <w:spacing w:before="0" w:after="283"/>
              <w:jc w:val="center"/>
              <w:rPr/>
            </w:pPr>
            <w:r>
              <w:rPr/>
              <w:t> </w:t>
            </w:r>
          </w:p>
        </w:tc>
      </w:tr>
      <w:tr>
        <w:trPr/>
        <w:tc>
          <w:tcPr>
            <w:tcW w:w="1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 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73" w:type="dxa"/>
            <w:tcBorders/>
            <w:vAlign w:val="center"/>
          </w:tcPr>
          <w:p>
            <w:pPr>
              <w:pStyle w:val="TableContents"/>
              <w:bidi w:val="0"/>
              <w:spacing w:before="0" w:after="283"/>
              <w:jc w:val="center"/>
              <w:rPr>
                <w:caps w:val="false"/>
                <w:smallCaps w:val="false"/>
              </w:rPr>
            </w:pPr>
            <w:r>
              <w:rPr>
                <w:caps w:val="false"/>
                <w:smallCaps w:val="false"/>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65"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Reported</w:t>
              <w:br/>
              <w:t>Claims</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72" w:type="dxa"/>
            <w:tcBorders/>
            <w:vAlign w:val="center"/>
          </w:tcPr>
          <w:p>
            <w:pPr>
              <w:pStyle w:val="TableContents"/>
              <w:bidi w:val="0"/>
              <w:spacing w:before="0" w:after="283"/>
              <w:jc w:val="center"/>
              <w:rPr>
                <w:caps w:val="false"/>
                <w:smallCaps w:val="false"/>
              </w:rPr>
            </w:pPr>
            <w:r>
              <w:rPr>
                <w:caps w:val="false"/>
                <w:smallCaps w:val="false"/>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i w:val="false"/>
                <w:caps w:val="false"/>
                <w:smallCaps w:val="false"/>
              </w:rPr>
            </w:pPr>
            <w:r>
              <w:rPr>
                <w:b/>
                <w:i w:val="false"/>
                <w:caps w:val="false"/>
                <w:smallCaps w:val="false"/>
              </w:rPr>
              <w:t>Reported Claims</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214,216</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212,874</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208,888</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198,570</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11,905</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270,593</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274,410</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273,689</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299,292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76,456</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156,592</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155,186</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144,182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48,377</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230,093</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218,790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121,566</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259,267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185,341</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1,122,322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6"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tbl>
      <w:tblPr>
        <w:tblW w:w="9056" w:type="dxa"/>
        <w:jc w:val="left"/>
        <w:tblInd w:w="0" w:type="dxa"/>
        <w:tblLayout w:type="fixed"/>
        <w:tblCellMar>
          <w:top w:w="0" w:type="dxa"/>
          <w:left w:w="0" w:type="dxa"/>
          <w:bottom w:w="0" w:type="dxa"/>
          <w:right w:w="0" w:type="dxa"/>
        </w:tblCellMar>
      </w:tblPr>
      <w:tblGrid>
        <w:gridCol w:w="1355"/>
        <w:gridCol w:w="60"/>
        <w:gridCol w:w="60"/>
        <w:gridCol w:w="191"/>
        <w:gridCol w:w="903"/>
        <w:gridCol w:w="91"/>
        <w:gridCol w:w="91"/>
        <w:gridCol w:w="191"/>
        <w:gridCol w:w="1064"/>
        <w:gridCol w:w="91"/>
        <w:gridCol w:w="91"/>
        <w:gridCol w:w="191"/>
        <w:gridCol w:w="1064"/>
        <w:gridCol w:w="91"/>
        <w:gridCol w:w="91"/>
        <w:gridCol w:w="191"/>
        <w:gridCol w:w="1064"/>
        <w:gridCol w:w="91"/>
        <w:gridCol w:w="91"/>
        <w:gridCol w:w="214"/>
        <w:gridCol w:w="1225"/>
        <w:gridCol w:w="60"/>
        <w:gridCol w:w="60"/>
        <w:gridCol w:w="60"/>
        <w:gridCol w:w="60"/>
        <w:gridCol w:w="60"/>
        <w:gridCol w:w="60"/>
        <w:gridCol w:w="60"/>
        <w:gridCol w:w="60"/>
        <w:gridCol w:w="75"/>
      </w:tblGrid>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026" w:type="dxa"/>
            <w:gridSpan w:val="18"/>
            <w:tcBorders/>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360" w:type="dxa"/>
            <w:gridSpan w:val="6"/>
            <w:tcBorders/>
            <w:shd w:fill="FFFFFF" w:val="clear"/>
            <w:vAlign w:val="center"/>
          </w:tcPr>
          <w:p>
            <w:pPr>
              <w:pStyle w:val="TableContents"/>
              <w:bidi w:val="0"/>
              <w:spacing w:before="0" w:after="283"/>
              <w:jc w:val="left"/>
              <w:rPr>
                <w:sz w:val="4"/>
                <w:szCs w:val="4"/>
              </w:rPr>
            </w:pPr>
            <w:r>
              <w:rPr>
                <w:sz w:val="4"/>
                <w:szCs w:val="4"/>
              </w:rPr>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2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Cumulative Paid Loss and Allocated Loss Adjustment Expenses, Net of Reinsurance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0" w:type="dxa"/>
            <w:gridSpan w:val="2"/>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3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026"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3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0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143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3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Accident Year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2021</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12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91" w:type="dxa"/>
            <w:tcBorders/>
            <w:vAlign w:val="center"/>
          </w:tcPr>
          <w:p>
            <w:pPr>
              <w:pStyle w:val="TableContents"/>
              <w:bidi w:val="0"/>
              <w:spacing w:before="0" w:after="283"/>
              <w:jc w:val="center"/>
              <w:rPr>
                <w:caps w:val="false"/>
                <w:smallCaps w:val="false"/>
              </w:rPr>
            </w:pPr>
            <w:r>
              <w:rPr>
                <w:caps w:val="false"/>
                <w:smallCaps w:val="false"/>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20" w:type="dxa"/>
            <w:gridSpan w:val="2"/>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center"/>
              <w:rPr/>
            </w:pPr>
            <w:r>
              <w:rPr/>
              <w:t> </w:t>
            </w:r>
          </w:p>
        </w:tc>
      </w:tr>
      <w:tr>
        <w:trPr/>
        <w:tc>
          <w:tcPr>
            <w:tcW w:w="1355"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4" w:type="dxa"/>
            <w:gridSpan w:val="2"/>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55" w:type="dxa"/>
            <w:gridSpan w:val="2"/>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55" w:type="dxa"/>
            <w:gridSpan w:val="2"/>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55" w:type="dxa"/>
            <w:gridSpan w:val="2"/>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439" w:type="dxa"/>
            <w:gridSpan w:val="2"/>
            <w:tcBorders/>
            <w:shd w:fill="CCEE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71,242</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106,501</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143,099</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161,724</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177,148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41,795</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120,881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166,911</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19,145</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45,702</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21,737</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58,849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903"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903"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1" w:type="dxa"/>
            <w:tcBorders/>
            <w:shd w:fill="CCEEFF" w:val="clear"/>
            <w:vAlign w:val="center"/>
          </w:tcPr>
          <w:p>
            <w:pPr>
              <w:pStyle w:val="TableContents"/>
              <w:bidi w:val="0"/>
              <w:spacing w:before="0" w:after="283"/>
              <w:jc w:val="left"/>
              <w:rPr>
                <w:sz w:val="4"/>
                <w:szCs w:val="4"/>
              </w:rPr>
            </w:pPr>
            <w:r>
              <w:rPr>
                <w:sz w:val="4"/>
                <w:szCs w:val="4"/>
              </w:rPr>
            </w:r>
          </w:p>
        </w:tc>
        <w:tc>
          <w:tcPr>
            <w:tcW w:w="1064" w:type="dxa"/>
            <w:tcBorders/>
            <w:shd w:fill="CCEEFF" w:val="clear"/>
            <w:vAlign w:val="center"/>
          </w:tcPr>
          <w:p>
            <w:pPr>
              <w:pStyle w:val="TableContents"/>
              <w:bidi w:val="0"/>
              <w:spacing w:before="0" w:after="283"/>
              <w:jc w:val="left"/>
              <w:rPr>
                <w:sz w:val="4"/>
                <w:szCs w:val="4"/>
              </w:rPr>
            </w:pPr>
            <w:r>
              <w:rPr>
                <w:sz w:val="4"/>
                <w:szCs w:val="4"/>
              </w:rPr>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b/>
              </w:rPr>
            </w:pPr>
            <w:r>
              <w:rPr>
                <w:b/>
              </w:rPr>
              <w:t>$</w:t>
            </w:r>
          </w:p>
        </w:tc>
        <w:tc>
          <w:tcPr>
            <w:tcW w:w="1225" w:type="dxa"/>
            <w:tcBorders/>
            <w:shd w:fill="CCEEFF" w:val="clear"/>
            <w:vAlign w:val="center"/>
          </w:tcPr>
          <w:p>
            <w:pPr>
              <w:pStyle w:val="TableContents"/>
              <w:bidi w:val="0"/>
              <w:spacing w:before="0" w:after="283"/>
              <w:jc w:val="right"/>
              <w:rPr>
                <w:b/>
              </w:rPr>
            </w:pPr>
            <w:r>
              <w:rPr>
                <w:b/>
              </w:rPr>
              <w:t>546,989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16" w:type="dxa"/>
            <w:gridSpan w:val="16"/>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liabilities prior to 2021, net of reinsurance</w:t>
            </w:r>
          </w:p>
        </w:tc>
        <w:tc>
          <w:tcPr>
            <w:tcW w:w="106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816" w:type="dxa"/>
            <w:gridSpan w:val="16"/>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for claims and claim adjustment expenses, net of reinsurance</w:t>
            </w:r>
          </w:p>
        </w:tc>
        <w:tc>
          <w:tcPr>
            <w:tcW w:w="106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b w:val="false"/>
                <w:i w:val="false"/>
                <w:caps w:val="false"/>
                <w:smallCaps w:val="false"/>
              </w:rPr>
            </w:pPr>
            <w:r>
              <w:rPr>
                <w:b w:val="false"/>
                <w:i w:val="false"/>
                <w:caps w:val="false"/>
                <w:smallCaps w:val="false"/>
              </w:rPr>
              <w:t>$</w:t>
            </w:r>
          </w:p>
        </w:tc>
        <w:tc>
          <w:tcPr>
            <w:tcW w:w="1225" w:type="dxa"/>
            <w:tcBorders>
              <w:bottom w:val="double" w:sz="6" w:space="0" w:color="000000"/>
            </w:tcBorders>
            <w:shd w:fill="CCEEFF" w:val="clear"/>
            <w:tcMar>
              <w:bottom w:w="28" w:type="dxa"/>
            </w:tcMar>
            <w:vAlign w:val="center"/>
          </w:tcPr>
          <w:p>
            <w:pPr>
              <w:pStyle w:val="TableContents"/>
              <w:bidi w:val="0"/>
              <w:spacing w:before="0" w:after="283"/>
              <w:jc w:val="right"/>
              <w:rPr>
                <w:b w:val="false"/>
                <w:i w:val="false"/>
                <w:caps w:val="false"/>
                <w:smallCaps w:val="false"/>
              </w:rPr>
            </w:pPr>
            <w:r>
              <w:rPr>
                <w:b w:val="false"/>
                <w:i w:val="false"/>
                <w:caps w:val="false"/>
                <w:smallCaps w:val="false"/>
              </w:rPr>
              <w:t>575,333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773"/>
        <w:gridCol w:w="60"/>
        <w:gridCol w:w="202"/>
        <w:gridCol w:w="1376"/>
        <w:gridCol w:w="60"/>
        <w:gridCol w:w="60"/>
        <w:gridCol w:w="202"/>
        <w:gridCol w:w="1376"/>
        <w:gridCol w:w="96"/>
      </w:tblGrid>
      <w:tr>
        <w:trPr/>
        <w:tc>
          <w:tcPr>
            <w:tcW w:w="67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773"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1578"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8" w:type="dxa"/>
            <w:gridSpan w:val="2"/>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b/>
                <w:sz w:val="20"/>
              </w:rPr>
            </w:pPr>
            <w:r>
              <w:rPr>
                <w:b/>
                <w:sz w:val="20"/>
              </w:rPr>
              <w:t>Net reserve for losses and loss expenses per the loss development triangles:</w:t>
            </w:r>
          </w:p>
        </w:tc>
        <w:tc>
          <w:tcPr>
            <w:tcW w:w="60" w:type="dxa"/>
            <w:tcBorders/>
            <w:shd w:fill="FFFFFF" w:val="clear"/>
            <w:vAlign w:val="center"/>
          </w:tcPr>
          <w:p>
            <w:pPr>
              <w:pStyle w:val="TableContents"/>
              <w:bidi w:val="0"/>
              <w:spacing w:before="0" w:after="283"/>
              <w:jc w:val="left"/>
              <w:rPr/>
            </w:pPr>
            <w:r>
              <w:rPr/>
              <w:t> </w:t>
            </w:r>
          </w:p>
        </w:tc>
        <w:tc>
          <w:tcPr>
            <w:tcW w:w="1578" w:type="dxa"/>
            <w:gridSpan w:val="2"/>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8" w:type="dxa"/>
            <w:gridSpan w:val="2"/>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sz w:val="20"/>
              </w:rPr>
            </w:pPr>
            <w:r>
              <w:rPr>
                <w:sz w:val="20"/>
              </w:rPr>
              <w:t>$</w:t>
            </w:r>
          </w:p>
        </w:tc>
        <w:tc>
          <w:tcPr>
            <w:tcW w:w="1376" w:type="dxa"/>
            <w:tcBorders/>
            <w:shd w:fill="CCEEFF" w:val="clear"/>
            <w:vAlign w:val="center"/>
          </w:tcPr>
          <w:p>
            <w:pPr>
              <w:pStyle w:val="TableContents"/>
              <w:bidi w:val="0"/>
              <w:spacing w:before="0" w:after="283"/>
              <w:jc w:val="right"/>
              <w:rPr>
                <w:sz w:val="20"/>
              </w:rPr>
            </w:pPr>
            <w:r>
              <w:rPr>
                <w:sz w:val="20"/>
              </w:rPr>
              <w:t>829,343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559,729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FFFFFF" w:val="clear"/>
            <w:vAlign w:val="center"/>
          </w:tcPr>
          <w:p>
            <w:pPr>
              <w:pStyle w:val="TableContents"/>
              <w:bidi w:val="0"/>
              <w:spacing w:before="0" w:after="283"/>
              <w:jc w:val="left"/>
              <w:rPr>
                <w:sz w:val="20"/>
              </w:rPr>
            </w:pPr>
            <w:r>
              <w:rPr>
                <w:sz w:val="20"/>
              </w:rPr>
              <w:t>Reinsurance</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575,333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461,461</w:t>
            </w:r>
          </w:p>
        </w:tc>
        <w:tc>
          <w:tcPr>
            <w:tcW w:w="96" w:type="dxa"/>
            <w:tcBorders/>
            <w:shd w:fill="FFFFFF" w:val="clear"/>
            <w:vAlign w:val="center"/>
          </w:tcPr>
          <w:p>
            <w:pPr>
              <w:pStyle w:val="TableContents"/>
              <w:bidi w:val="0"/>
              <w:spacing w:before="0" w:after="283"/>
              <w:jc w:val="left"/>
              <w:rPr/>
            </w:pPr>
            <w:r>
              <w:rPr/>
              <w:t> </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reserves for losses and loss expenses per the loss development triangles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1,404,676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1,021,190</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 recoverable for each loss development triangle: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322,281</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58,545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56,374</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reinsurance recoverable included in the loss development triangles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518,052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378,655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gross reserves for losses and loss expenses included in the loss development triangles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1,922,728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1,399,845</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1376" w:type="dxa"/>
            <w:tcBorders/>
            <w:shd w:fill="CCEEFF" w:val="clear"/>
            <w:vAlign w:val="center"/>
          </w:tcPr>
          <w:p>
            <w:pPr>
              <w:pStyle w:val="TableContents"/>
              <w:bidi w:val="0"/>
              <w:spacing w:before="0" w:after="283"/>
              <w:jc w:val="righ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balances not included in the loss development triangles: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jc w:val="left"/>
              <w:rPr/>
            </w:pPr>
            <w:r>
              <w:rPr/>
              <w:t> </w:t>
            </w:r>
          </w:p>
        </w:tc>
        <w:tc>
          <w:tcPr>
            <w:tcW w:w="1376"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reserves not included in the loss development triangles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26,618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translation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7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balances not included in the loss development triangles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23,498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77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gross reserves for losses and loss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1,942,748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1,423,343</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Relates to reserves associated with AV0002. See note 6, "Variable Interest Entities and Noncontrolling Interests"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dividends during the years ended December 31, 2025, or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Vantage Group Holdings Ltd. 2020 Share Incentive Plan, as amended, the Company is authorized to issue up to 23,725,000 common shares to eligible persons. The Company may grant awards based on shares of its common stock, including stock options, restricted stock units, and deferred stock units. To date, there have been two types of stock option awards: founders grants and employee grants. The founders grants fully vested on an accelerated schedule linked to financial metrics which were met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Employee Grants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December 31, 2025, and December 31, 2024, the Company granted 2,492,675 and 2,966,400 option shares, respectively, to employees to purchase non-voting common shares of the Company. The option shares have a total term of 10 years and vest based on a fixed schedule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8"/>
        <w:gridCol w:w="9987"/>
      </w:tblGrid>
      <w:tr>
        <w:trPr/>
        <w:tc>
          <w:tcPr>
            <w:tcW w:w="5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rFonts w:ascii="Symbol" w:hAnsi="Symbol"/>
              </w:rPr>
            </w:pPr>
            <w:r>
              <w:rPr>
                <w:rFonts w:ascii="Symbol" w:hAnsi="Symbol"/>
              </w:rPr>
              <w:t>·</w:t>
            </w:r>
          </w:p>
        </w:tc>
        <w:tc>
          <w:tcPr>
            <w:tcW w:w="998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 on the first anniversary (“Employee Vesting Commencement Date”);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thereafter, an additional 6.25% on each three-month anniversary of the Employee Vesting Commencement Date over three years following the first anniversary of the Employee Vesting Commencement Date.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a roll forward of stock option activity for the Employee Grants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8474" w:type="dxa"/>
        <w:jc w:val="left"/>
        <w:tblInd w:w="0" w:type="dxa"/>
        <w:tblLayout w:type="fixed"/>
        <w:tblCellMar>
          <w:top w:w="0" w:type="dxa"/>
          <w:left w:w="0" w:type="dxa"/>
          <w:bottom w:w="28" w:type="dxa"/>
          <w:right w:w="0" w:type="dxa"/>
        </w:tblCellMar>
      </w:tblPr>
      <w:tblGrid>
        <w:gridCol w:w="3290"/>
        <w:gridCol w:w="60"/>
        <w:gridCol w:w="60"/>
        <w:gridCol w:w="950"/>
        <w:gridCol w:w="80"/>
        <w:gridCol w:w="60"/>
        <w:gridCol w:w="125"/>
        <w:gridCol w:w="1250"/>
        <w:gridCol w:w="60"/>
        <w:gridCol w:w="60"/>
        <w:gridCol w:w="96"/>
        <w:gridCol w:w="2308"/>
        <w:gridCol w:w="75"/>
      </w:tblGrid>
      <w:tr>
        <w:trPr/>
        <w:tc>
          <w:tcPr>
            <w:tcW w:w="32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br/>
              <w:t xml:space="preserve">Average </w:t>
              <w:br/>
              <w:t>Exercise Price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40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br/>
              <w:t xml:space="preserve">Average </w:t>
              <w:br/>
              <w:t>Remaining Contractual Life</w:t>
            </w:r>
          </w:p>
        </w:tc>
        <w:tc>
          <w:tcPr>
            <w:tcW w:w="7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beginning of year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19,781,889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2,492,675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(198,897</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expired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(1,194,780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end of year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20,880,887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 end of year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16,455,116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8"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tcBorders/>
            <w:shd w:fill="FFFFFF" w:val="clear"/>
            <w:tcMar>
              <w:bottom w:w="0" w:type="dxa"/>
            </w:tcMar>
            <w:vAlign w:val="center"/>
          </w:tcPr>
          <w:p>
            <w:pPr>
              <w:pStyle w:val="TableContents"/>
              <w:bidi w:val="0"/>
              <w:spacing w:before="0" w:after="283"/>
              <w:jc w:val="center"/>
              <w:rPr/>
            </w:pPr>
            <w:r>
              <w:rPr/>
              <w:t> </w:t>
            </w:r>
          </w:p>
        </w:tc>
        <w:tc>
          <w:tcPr>
            <w:tcW w:w="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br/>
              <w:t>Average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8"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Weighted </w:t>
              <w:br/>
              <w:t xml:space="preserve">Average </w:t>
              <w:br/>
              <w:t>Remaining</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2024</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8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30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Life</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beginning of year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17,477,985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2,966,400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08"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 or expired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(662,496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end of year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19,781,889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0"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29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 end of year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14,603,739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0"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6" w:type="dxa"/>
            <w:tcBorders>
              <w:bottom w:val="double" w:sz="6"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08"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 average grant-date fair value of stock options granted during the years ended December 31, 2025, and December 31, 2024 was $4.24 and $3.96, respectively. For the year ended December 31, 2025, we recognized $7.4 million of expense, while $15.6 million was unrecognized and is expected to be amortized up to 3.75 years. For the year ended December 31, 2024, we recognized $8.0 million of expense, while $16.7 million was unrecognized and is expected to be amortized up to 3.5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options was estimated on the grant date using the Black-Scholes model using the following range of assumptions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2645"/>
        <w:gridCol w:w="60"/>
        <w:gridCol w:w="60"/>
        <w:gridCol w:w="485"/>
        <w:gridCol w:w="185"/>
        <w:gridCol w:w="60"/>
        <w:gridCol w:w="60"/>
        <w:gridCol w:w="485"/>
        <w:gridCol w:w="200"/>
      </w:tblGrid>
      <w:tr>
        <w:trPr/>
        <w:tc>
          <w:tcPr>
            <w:tcW w:w="2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1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0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annual dividend yield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6.39</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granted 13,044 DSUs at a weighted-average grant date fair value of $11.50 and recognized $0.2 million of expense associated with DSUs. During the year ended December 31, 2024, the Company granted 90,000 DSU’s at a weighted-average grant date fair value of $10.00 and recognized $0.9 million of expense associated with DSUs.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Commitments, Contingencies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Concentrations of credit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underwrites a significant amount of its (re)insurance business through brokers. There is credit risk associated with payments of (re)insurance balances to the Company in regard to these brokers' ability to fulfil their contractual obligations. In addition, in some jurisdictions, if the broker fails to make payments to the insured under the Company’s policy, the Company may remain liable to the insured for the deficiency. These brokerage companies are large and well established, and there are no indications they are financially distressed.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Company’s premiums written by broker that individually contributed more than 10% of total gross written premium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2975"/>
        <w:gridCol w:w="60"/>
        <w:gridCol w:w="223"/>
        <w:gridCol w:w="1416"/>
        <w:gridCol w:w="412"/>
        <w:gridCol w:w="133"/>
        <w:gridCol w:w="223"/>
        <w:gridCol w:w="1416"/>
        <w:gridCol w:w="200"/>
      </w:tblGrid>
      <w:tr>
        <w:trPr/>
        <w:tc>
          <w:tcPr>
            <w:tcW w:w="29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2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Gross Written Premium</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412" w:type="dxa"/>
            <w:tcBorders/>
            <w:vAlign w:val="center"/>
          </w:tcPr>
          <w:p>
            <w:pPr>
              <w:pStyle w:val="TableContents"/>
              <w:bidi w:val="0"/>
              <w:spacing w:before="0" w:after="283"/>
              <w:jc w:val="left"/>
              <w:rPr>
                <w:caps w:val="false"/>
                <w:smallCaps w:val="false"/>
              </w:rPr>
            </w:pPr>
            <w:r>
              <w:rPr>
                <w:caps w:val="false"/>
                <w:smallCaps w:val="false"/>
              </w:rPr>
              <w:t> </w:t>
            </w:r>
          </w:p>
        </w:tc>
        <w:tc>
          <w:tcPr>
            <w:tcW w:w="133"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2024</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Marsh &amp; McLennan Companies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w:t>
            </w:r>
          </w:p>
        </w:tc>
        <w:tc>
          <w:tcPr>
            <w:tcW w:w="4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Aon Corporation and Subsidiaries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41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Arthur J. Gallagher &amp; Co.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4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was no other broker or (re)insured that accounted for more than 10% of gross written premiums for the years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leases office space and office equipment under various operating leases, the expiration terms of which range from March 2026 to September 2033. Total rent expense with respect to these operating leases for the years ended December 31, 2025, and December 31, 2024, was $1.9 million and $1.3 million, respectively. Supplemental information related to operating leases is as follows for the years indicated:</w:t>
      </w:r>
    </w:p>
    <w:p>
      <w:pPr>
        <w:pStyle w:val="TextBody"/>
        <w:bidi w:val="0"/>
        <w:spacing w:before="0" w:after="0"/>
        <w:ind w:left="0" w:right="0" w:hanging="0"/>
        <w:jc w:val="left"/>
        <w:rPr>
          <w:caps w:val="false"/>
          <w:smallCaps w:val="false"/>
        </w:rPr>
      </w:pPr>
      <w:r>
        <w:rPr>
          <w:caps w:val="false"/>
          <w:smallCaps w:val="false"/>
        </w:rPr>
        <w:t> </w:t>
      </w:r>
    </w:p>
    <w:tbl>
      <w:tblPr>
        <w:tblW w:w="6298" w:type="dxa"/>
        <w:jc w:val="left"/>
        <w:tblInd w:w="0" w:type="dxa"/>
        <w:tblLayout w:type="fixed"/>
        <w:tblCellMar>
          <w:top w:w="0" w:type="dxa"/>
          <w:left w:w="0" w:type="dxa"/>
          <w:bottom w:w="0" w:type="dxa"/>
          <w:right w:w="0" w:type="dxa"/>
        </w:tblCellMar>
      </w:tblPr>
      <w:tblGrid>
        <w:gridCol w:w="2765"/>
        <w:gridCol w:w="60"/>
        <w:gridCol w:w="334"/>
        <w:gridCol w:w="1305"/>
        <w:gridCol w:w="60"/>
        <w:gridCol w:w="60"/>
        <w:gridCol w:w="334"/>
        <w:gridCol w:w="1305"/>
        <w:gridCol w:w="75"/>
      </w:tblGrid>
      <w:tr>
        <w:trPr/>
        <w:tc>
          <w:tcPr>
            <w:tcW w:w="27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 of 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88" w:type="dxa"/>
        <w:jc w:val="left"/>
        <w:tblInd w:w="0" w:type="dxa"/>
        <w:tblLayout w:type="fixed"/>
        <w:tblCellMar>
          <w:top w:w="0" w:type="dxa"/>
          <w:left w:w="0" w:type="dxa"/>
          <w:bottom w:w="0" w:type="dxa"/>
          <w:right w:w="0" w:type="dxa"/>
        </w:tblCellMar>
      </w:tblPr>
      <w:tblGrid>
        <w:gridCol w:w="4055"/>
        <w:gridCol w:w="60"/>
        <w:gridCol w:w="210"/>
        <w:gridCol w:w="1429"/>
        <w:gridCol w:w="60"/>
        <w:gridCol w:w="60"/>
        <w:gridCol w:w="196"/>
        <w:gridCol w:w="1443"/>
        <w:gridCol w:w="75"/>
      </w:tblGrid>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operating lease term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3"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years</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existing lease liabilities are expected to occur as follows:</w:t>
      </w:r>
    </w:p>
    <w:p>
      <w:pPr>
        <w:pStyle w:val="TextBody"/>
        <w:bidi w:val="0"/>
        <w:spacing w:before="0" w:after="0"/>
        <w:ind w:left="0" w:right="0" w:hanging="0"/>
        <w:jc w:val="left"/>
        <w:rPr>
          <w:caps w:val="false"/>
          <w:smallCaps w:val="false"/>
        </w:rPr>
      </w:pPr>
      <w:r>
        <w:rPr>
          <w:caps w:val="false"/>
          <w:smallCaps w:val="false"/>
        </w:rPr>
        <w:t> </w:t>
      </w:r>
    </w:p>
    <w:tbl>
      <w:tblPr>
        <w:tblW w:w="3300" w:type="dxa"/>
        <w:jc w:val="left"/>
        <w:tblInd w:w="0" w:type="dxa"/>
        <w:tblLayout w:type="fixed"/>
        <w:tblCellMar>
          <w:top w:w="0" w:type="dxa"/>
          <w:left w:w="0" w:type="dxa"/>
          <w:bottom w:w="28" w:type="dxa"/>
          <w:right w:w="0" w:type="dxa"/>
        </w:tblCellMar>
      </w:tblPr>
      <w:tblGrid>
        <w:gridCol w:w="2555"/>
        <w:gridCol w:w="60"/>
        <w:gridCol w:w="125"/>
        <w:gridCol w:w="485"/>
        <w:gridCol w:w="75"/>
      </w:tblGrid>
      <w:tr>
        <w:trPr/>
        <w:tc>
          <w:tcPr>
            <w:tcW w:w="255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tcMar>
              <w:bottom w:w="0" w:type="dxa"/>
            </w:tcMar>
            <w:vAlign w:val="center"/>
          </w:tcPr>
          <w:p>
            <w:pPr>
              <w:pStyle w:val="TableContents"/>
              <w:bidi w:val="0"/>
              <w:spacing w:before="0" w:after="283"/>
              <w:jc w:val="left"/>
              <w:rPr/>
            </w:pPr>
            <w:r>
              <w:rPr/>
              <w:t> </w:t>
            </w:r>
          </w:p>
        </w:tc>
        <w:tc>
          <w:tcPr>
            <w:tcW w:w="61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Thereafter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lease liability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8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3,098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Letters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Ltd. has entered into several letter of credit facilities (“LOCs”) with commercial banks, these LOCs are required under the terms of certain insurance and reinsurance agreements.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outstanding letters of credit as of December 31, 2025:</w:t>
      </w:r>
    </w:p>
    <w:p>
      <w:pPr>
        <w:pStyle w:val="TextBody"/>
        <w:bidi w:val="0"/>
        <w:spacing w:before="0" w:after="0"/>
        <w:ind w:left="0" w:right="0" w:hanging="0"/>
        <w:jc w:val="left"/>
        <w:rPr>
          <w:caps w:val="false"/>
          <w:smallCaps w:val="false"/>
        </w:rPr>
      </w:pPr>
      <w:r>
        <w:rPr>
          <w:caps w:val="false"/>
          <w:smallCaps w:val="false"/>
        </w:rPr>
        <w:t> </w:t>
      </w:r>
    </w:p>
    <w:tbl>
      <w:tblPr>
        <w:tblW w:w="5150" w:type="dxa"/>
        <w:jc w:val="left"/>
        <w:tblInd w:w="0" w:type="dxa"/>
        <w:tblLayout w:type="fixed"/>
        <w:tblCellMar>
          <w:top w:w="0" w:type="dxa"/>
          <w:left w:w="0" w:type="dxa"/>
          <w:bottom w:w="28" w:type="dxa"/>
          <w:right w:w="0" w:type="dxa"/>
        </w:tblCellMar>
      </w:tblPr>
      <w:tblGrid>
        <w:gridCol w:w="2945"/>
        <w:gridCol w:w="60"/>
        <w:gridCol w:w="197"/>
        <w:gridCol w:w="933"/>
        <w:gridCol w:w="60"/>
        <w:gridCol w:w="60"/>
        <w:gridCol w:w="125"/>
        <w:gridCol w:w="695"/>
        <w:gridCol w:w="75"/>
      </w:tblGrid>
      <w:tr>
        <w:trPr/>
        <w:tc>
          <w:tcPr>
            <w:tcW w:w="29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Bank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Lloyds Bank Corporate Markets plc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59,494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Citibank Europe plc</w:t>
            </w:r>
            <w:r>
              <w:rPr>
                <w:rFonts w:ascii="Times New Roman;Times;Serif" w:hAnsi="Times New Roman;Times;Serif"/>
                <w:b w:val="false"/>
                <w:i w:val="false"/>
                <w:caps w:val="false"/>
                <w:smallCaps w:val="false"/>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53,506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Wells Fargo Bank, N.A.</w:t>
            </w:r>
            <w:r>
              <w:rPr>
                <w:rFonts w:ascii="Times New Roman;Times;Serif" w:hAnsi="Times New Roman;Times;Serif"/>
                <w:b w:val="false"/>
                <w:i w:val="false"/>
                <w:caps w:val="false"/>
                <w:smallCaps w:val="false"/>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155,516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pBdr/>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Uncommitted facilities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become involved in a variety of litigation and legal and regulatory proceedings relating to its business operations and, from time to time, it may become involved in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Company will establish an accrued liability for certain legal and regulatory proceedings. As of December 31, 2025, and December 31, 2024, no accrued liability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Reinsurance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financial condition of its reinsurers and monitors concentration of credit risk arising from its exposure to individual reinsurers. The reinsurance program is generally placed with reinsurers whose rating, at the time of placement, was A- or better (or the equivalent) as rated by one or more nationally recognized statistical rating organizations; or those providing reinsurance on a collateralized basis. Exposure to a single reinsurer is also controlled with restrictions dependent on rating.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effect of reinsurance on premiums written and earned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5438" w:type="dxa"/>
        <w:jc w:val="left"/>
        <w:tblInd w:w="0" w:type="dxa"/>
        <w:tblLayout w:type="fixed"/>
        <w:tblCellMar>
          <w:top w:w="0" w:type="dxa"/>
          <w:left w:w="0" w:type="dxa"/>
          <w:bottom w:w="0" w:type="dxa"/>
          <w:right w:w="0" w:type="dxa"/>
        </w:tblCellMar>
      </w:tblPr>
      <w:tblGrid>
        <w:gridCol w:w="1865"/>
        <w:gridCol w:w="60"/>
        <w:gridCol w:w="210"/>
        <w:gridCol w:w="1429"/>
        <w:gridCol w:w="80"/>
        <w:gridCol w:w="60"/>
        <w:gridCol w:w="231"/>
        <w:gridCol w:w="1408"/>
        <w:gridCol w:w="9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b/>
                <w:sz w:val="20"/>
              </w:rPr>
            </w:pPr>
            <w:r>
              <w:rPr>
                <w:b/>
                <w:sz w:val="20"/>
              </w:rPr>
              <w:t>Premiums written</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w:t>
              <w:tab/>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1429" w:type="dxa"/>
            <w:tcBorders/>
            <w:shd w:fill="CCEEFF" w:val="clear"/>
            <w:vAlign w:val="center"/>
          </w:tcPr>
          <w:p>
            <w:pPr>
              <w:pStyle w:val="TableContents"/>
              <w:bidi w:val="0"/>
              <w:spacing w:before="0" w:after="283"/>
              <w:jc w:val="right"/>
              <w:rPr>
                <w:sz w:val="20"/>
              </w:rPr>
            </w:pPr>
            <w:r>
              <w:rPr>
                <w:sz w:val="20"/>
              </w:rPr>
              <w:t>1,013,161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814,157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611,546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(409,512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w:t>
              <w:tab/>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1,187,406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987,495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42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Premiums earned</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42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w:t>
              <w:tab/>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sz w:val="20"/>
              </w:rPr>
            </w:pPr>
            <w:r>
              <w:rPr>
                <w:sz w:val="20"/>
              </w:rPr>
              <w:t>$</w:t>
            </w:r>
          </w:p>
        </w:tc>
        <w:tc>
          <w:tcPr>
            <w:tcW w:w="1429" w:type="dxa"/>
            <w:tcBorders/>
            <w:shd w:fill="CCEEFF" w:val="clear"/>
            <w:vAlign w:val="center"/>
          </w:tcPr>
          <w:p>
            <w:pPr>
              <w:pStyle w:val="TableContents"/>
              <w:bidi w:val="0"/>
              <w:spacing w:before="0" w:after="283"/>
              <w:jc w:val="right"/>
              <w:rPr>
                <w:sz w:val="20"/>
              </w:rPr>
            </w:pPr>
            <w:r>
              <w:rPr>
                <w:sz w:val="20"/>
              </w:rPr>
              <w:t>849,007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637,403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570,678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0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486,318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Ceded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(384,242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(325,764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earned premiums</w:t>
              <w:tab/>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b/>
                <w:sz w:val="20"/>
              </w:rPr>
            </w:pPr>
            <w:r>
              <w:rPr>
                <w:b/>
                <w:sz w:val="20"/>
              </w:rPr>
              <w:t>$</w:t>
            </w:r>
          </w:p>
        </w:tc>
        <w:tc>
          <w:tcPr>
            <w:tcW w:w="142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1,035,443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797,957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its businesses into three segments – insurance, reinsurance and corporate. The Company determined its segments using the management approach described in accounting guidance regarding disclosures about segments of an enterprise and related information. The accounting policies of the segments are the same as those used for the preparation of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insurance and reinsurance segments each have managers who are responsible for the overall profitability of their respective segments and who are directly accountable to the Company’s Chief Operating Decision Maker (“CODM”), which is the Chief Executive Officer. The CODM does not assess performance, measure return on equity or make resource allocation decisions on a line of business basis. Management measures segment performance for its insurance and reinsurance segments based on underwriting income or loss. The Company does not manage its assets by segment, and, accordingly, investment income is not allocated to each underwriting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insurance segment operates in the United States and Bermuda. Product lines offered by the Company's U.S. insurance subsidiaries include casualty, property, professional liability, financial lines, healthcare, construction, and political risk and credit. Products offered by the Company's Bermuda subsidiary include financial &amp; professional lines and healthcare &amp; excess casualty.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reinsurance segment consists of products offered by the Company's Bermuda subsidiary. Product lines offered include specialty, property &amp; casualty, financial lines, and property catastrophe.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corporate segment consists primarily of management of our investment portfolio and certain corporate expenses. The segment results primarily include net investment income, net realized gains (losses) on investments, fee and other income (loss), income tax items, and income from our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allocate its assets by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underwriting income by segment, together with a reconciliation of underwriting income to net income attributable to Vantage Group Holdings Ltd.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9325" w:type="dxa"/>
        <w:jc w:val="left"/>
        <w:tblInd w:w="0" w:type="dxa"/>
        <w:tblLayout w:type="fixed"/>
        <w:tblCellMar>
          <w:top w:w="0" w:type="dxa"/>
          <w:left w:w="0" w:type="dxa"/>
          <w:bottom w:w="0" w:type="dxa"/>
          <w:right w:w="0" w:type="dxa"/>
        </w:tblCellMar>
      </w:tblPr>
      <w:tblGrid>
        <w:gridCol w:w="4790"/>
        <w:gridCol w:w="60"/>
        <w:gridCol w:w="170"/>
        <w:gridCol w:w="845"/>
        <w:gridCol w:w="80"/>
        <w:gridCol w:w="60"/>
        <w:gridCol w:w="151"/>
        <w:gridCol w:w="919"/>
        <w:gridCol w:w="80"/>
        <w:gridCol w:w="60"/>
        <w:gridCol w:w="137"/>
        <w:gridCol w:w="768"/>
        <w:gridCol w:w="80"/>
        <w:gridCol w:w="60"/>
        <w:gridCol w:w="125"/>
        <w:gridCol w:w="845"/>
        <w:gridCol w:w="95"/>
      </w:tblGrid>
      <w:tr>
        <w:trPr/>
        <w:tc>
          <w:tcPr>
            <w:tcW w:w="47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38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in thousands)</w:t>
            </w:r>
            <w:r>
              <w:rPr>
                <w:rFonts w:ascii="Times New Roman;Times;Serif" w:hAnsi="Times New Roman;Times;Serif"/>
                <w:b w:val="false"/>
                <w:i w:val="false"/>
                <w:caps w:val="false"/>
                <w:smallCaps w:val="false"/>
                <w:sz w:val="20"/>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1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70"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0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written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1,099,890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524,817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1,624,707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687,448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1,187,406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583,337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1,035,443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(253,775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(82,892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(112,488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(195,380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(134,352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(174,947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(7,470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48,900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gains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121,774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178,144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145,377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201,747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w:t>
            </w:r>
          </w:p>
        </w:tc>
        <w:tc>
          <w:tcPr>
            <w:tcW w:w="84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140,671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197,041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70" w:type="dxa"/>
        <w:jc w:val="left"/>
        <w:tblInd w:w="0" w:type="dxa"/>
        <w:tblLayout w:type="fixed"/>
        <w:tblCellMar>
          <w:top w:w="0" w:type="dxa"/>
          <w:left w:w="0" w:type="dxa"/>
          <w:bottom w:w="0" w:type="dxa"/>
          <w:right w:w="0" w:type="dxa"/>
        </w:tblCellMar>
      </w:tblPr>
      <w:tblGrid>
        <w:gridCol w:w="5270"/>
        <w:gridCol w:w="60"/>
        <w:gridCol w:w="125"/>
        <w:gridCol w:w="755"/>
        <w:gridCol w:w="80"/>
        <w:gridCol w:w="60"/>
        <w:gridCol w:w="151"/>
        <w:gridCol w:w="919"/>
        <w:gridCol w:w="80"/>
        <w:gridCol w:w="60"/>
        <w:gridCol w:w="137"/>
        <w:gridCol w:w="768"/>
        <w:gridCol w:w="80"/>
        <w:gridCol w:w="60"/>
        <w:gridCol w:w="125"/>
        <w:gridCol w:w="845"/>
        <w:gridCol w:w="95"/>
      </w:tblGrid>
      <w:tr>
        <w:trPr/>
        <w:tc>
          <w:tcPr>
            <w:tcW w:w="52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24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December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5" w:type="dxa"/>
            <w:gridSpan w:val="6"/>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written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959,554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437,453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1,397,007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579,307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408,188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987,495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429,763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368,194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797,957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(309,587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(214,670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(524,257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(128,312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(117,189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(162,352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(8,086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(16,964</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35,655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109,694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109,370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100,492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2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income attributable to Vantage Group Holdings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(44,496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19"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35,618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8"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105,918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97,040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provide summary information regarding net earned premiums by major line of business and net premiums written by underwriting location:</w:t>
      </w:r>
    </w:p>
    <w:p>
      <w:pPr>
        <w:pStyle w:val="TextBody"/>
        <w:bidi w:val="0"/>
        <w:spacing w:before="0" w:after="0"/>
        <w:ind w:left="0" w:right="0" w:hanging="0"/>
        <w:jc w:val="left"/>
        <w:rPr>
          <w:caps w:val="false"/>
          <w:smallCaps w:val="false"/>
        </w:rPr>
      </w:pPr>
      <w:r>
        <w:rPr>
          <w:caps w:val="false"/>
          <w:smallCaps w:val="false"/>
        </w:rPr>
        <w:t> </w:t>
      </w:r>
    </w:p>
    <w:tbl>
      <w:tblPr>
        <w:tblW w:w="6367" w:type="dxa"/>
        <w:jc w:val="left"/>
        <w:tblInd w:w="0" w:type="dxa"/>
        <w:tblLayout w:type="fixed"/>
        <w:tblCellMar>
          <w:top w:w="0" w:type="dxa"/>
          <w:left w:w="0" w:type="dxa"/>
          <w:bottom w:w="0" w:type="dxa"/>
          <w:right w:w="0" w:type="dxa"/>
        </w:tblCellMar>
      </w:tblPr>
      <w:tblGrid>
        <w:gridCol w:w="4010"/>
        <w:gridCol w:w="60"/>
        <w:gridCol w:w="158"/>
        <w:gridCol w:w="878"/>
        <w:gridCol w:w="75"/>
        <w:gridCol w:w="75"/>
        <w:gridCol w:w="158"/>
        <w:gridCol w:w="878"/>
        <w:gridCol w:w="75"/>
      </w:tblGrid>
      <w:tr>
        <w:trPr/>
        <w:tc>
          <w:tcPr>
            <w:tcW w:w="4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22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7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 SEGMENT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earned premiums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America</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Casualty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141,546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81,977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99,951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53,968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58,152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48,371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Lines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54,343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51,922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29,890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Risk and 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North America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481,216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315,894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International</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&amp; Professional Lines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65,487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&amp; Excess Casualty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48,382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International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102,121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113,869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583,337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429,763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 by underwriting location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North America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589,251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467,537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98,197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111,770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687,448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579,307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REINSURANCE SEGMENT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7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earned premiums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293,572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240,624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&amp; Casualty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121,580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83,041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Lines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26,115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19,240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Catastrophe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10,839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25,289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452,106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368,194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 by underwriting location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499,958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408,188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7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Statutory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insurance and reinsurance subsidiaries are subject to insurance laws and regulations in the jurisdictions in which they operate. These regulations include restrictions that limit the amount of dividends or other distributions, such as loans or cash advances, available to shareholders without prior approval of the insurance regulatory authorities.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VRL is registered under The Insurance Act of 1978 (Bermuda), amendments thereto, and related regulations which requires the Company to meet a minimum solvency margin and a minimum liquidity ratio. The Bermuda Statutory Capital Requirement (“BSCR”) is a risk-based capital model to measure risk and to determine an enhanced capital requirement ("ECR") and target capital level (defined as 120% of the ECR) for Class 4 insurers. VRL is required to file an annual BSCR with the Bermuda Monetary Authority ("BMA"). VRL's 2024 BSCR was filed on April 30, 2025 with a BSCR ratio of 285%.</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 4 insurer is prohibited from declaring or paying a dividend if in breach of its ECR,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Authority. Further, a Class 4 insurer is prohibited from declaring or paying in any financial year dividends of more than 25% of its total statutory capital and surplus (as shown on its previous financial year’s statutory balance sheet) unless it files (at least seven days before payment of such dividends) with the Authority an affidavit signed by at least two directors and the insurer’s principal representative stating that the declaration of such dividends has not caused the insurer to fail to meet its solvency margin or minimum liquidity ratio. Class 4 insurers must obtain the Authority’s prior approval for a reduction by 15% or more of the total statutory capital as set forth in its previous year’s statutory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U.S. insurance subsidiaries, VRAC and VRSIC, file financial statements prepared in accordance with statutory accounting practices prescribed or permitted by the Delaware Department of Insurance. The principal differences between statutory financial statements and financial statements prepared in accordance with U.S. GAAP for domestic companies are that statutory financial statements do not reflect DAC, some bond portfolios may be carried at amortized cost, investment impairments are determined in accordance with statutory accounting practices, assets and liabilities are presented net of reinsurance, policyholder liabilities are generally valued using more conservative assumptions and certain assets are non-admitted.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insurance subsidiaries, aggregate minimum required statutory capital, and surplus is based on the greater of the RBC level that would trigger regulatory action or minimum requirements per state insurance regulation. At December 31, 2025, our U.S. insurance subsidiaries, individually, exceeded the minimum required statutory capital and surplus requirements. Also, our U.S. insurance subsidiaries, individually, exceeded RBC minimum required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statutory capital and surplus as of December 31, 2025, the associated required amount and statutory net income for the year ended December 31, 2025, was as follows:</w:t>
      </w:r>
    </w:p>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5420"/>
        <w:gridCol w:w="60"/>
        <w:gridCol w:w="125"/>
        <w:gridCol w:w="695"/>
        <w:gridCol w:w="60"/>
        <w:gridCol w:w="60"/>
        <w:gridCol w:w="125"/>
        <w:gridCol w:w="695"/>
        <w:gridCol w:w="75"/>
      </w:tblGrid>
      <w:tr>
        <w:trPr/>
        <w:tc>
          <w:tcPr>
            <w:tcW w:w="54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Bermuda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capital and surplus, as of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736,229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446,278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statutory capital and surplus, as of December 31, 2025</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300,361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124,508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Maximum amount available for payment of dividends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184,439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year ended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120,355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595" w:type="dxa"/>
        <w:jc w:val="left"/>
        <w:tblInd w:w="0" w:type="dxa"/>
        <w:tblLayout w:type="fixed"/>
        <w:tblCellMar>
          <w:top w:w="0" w:type="dxa"/>
          <w:left w:w="0" w:type="dxa"/>
          <w:bottom w:w="0" w:type="dxa"/>
          <w:right w:w="0" w:type="dxa"/>
        </w:tblCellMar>
      </w:tblPr>
      <w:tblGrid>
        <w:gridCol w:w="305"/>
        <w:gridCol w:w="9290"/>
      </w:tblGrid>
      <w:tr>
        <w:trPr/>
        <w:tc>
          <w:tcPr>
            <w:tcW w:w="305" w:type="dxa"/>
            <w:tcBorders/>
            <w:vAlign w:val="center"/>
          </w:tcPr>
          <w:p>
            <w:pPr>
              <w:pStyle w:val="TableContents"/>
              <w:bidi w:val="0"/>
              <w:spacing w:before="0" w:after="283"/>
              <w:jc w:val="left"/>
              <w:rPr/>
            </w:pPr>
            <w:r>
              <w:rPr/>
              <w:t>(1)</w:t>
            </w:r>
          </w:p>
        </w:tc>
        <w:tc>
          <w:tcPr>
            <w:tcW w:w="9290" w:type="dxa"/>
            <w:tcBorders/>
            <w:vAlign w:val="center"/>
          </w:tcPr>
          <w:p>
            <w:pPr>
              <w:pStyle w:val="TableContents"/>
              <w:bidi w:val="0"/>
              <w:spacing w:before="0" w:after="283"/>
              <w:jc w:val="both"/>
              <w:rPr/>
            </w:pPr>
            <w:r>
              <w:rPr/>
              <w:t>The required statutory capital and surplus for Bermuda is based on the minimum solvency margin.</w:t>
            </w:r>
          </w:p>
        </w:tc>
      </w:tr>
    </w:tbl>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(2)</w:t>
            </w:r>
          </w:p>
        </w:tc>
        <w:tc>
          <w:tcPr>
            <w:tcW w:w="9914" w:type="dxa"/>
            <w:tcBorders/>
            <w:vAlign w:val="center"/>
          </w:tcPr>
          <w:p>
            <w:pPr>
              <w:pStyle w:val="TableContents"/>
              <w:bidi w:val="0"/>
              <w:spacing w:before="0" w:after="283"/>
              <w:jc w:val="both"/>
              <w:rPr/>
            </w:pPr>
            <w:r>
              <w:rPr/>
              <w:t>Represents the maximum amount available for payment of dividends or other distributions without prior regulatory approval.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previous Bermuda law, no Bermuda income or capital gains taxes are imposed on the Company and its Bermuda subsidiaries. The Minister of Finance of Bermuda had assured the Company and its Bermuda subsidiary that, pursuant to The Exempted Undertakings Tax Protection Amendment Act of 2011, they will be exempt until 2035 from imposition of any such taxes. However, on December 27, 2023, the Government of Bermuda enacted the Bermuda CIT, which became effective for tax years beginning on or after January 1, 2025. ASC 740, Accounting for Income Taxes, requires the effects of changes in tax laws or rates to be recognized in the period in which the law is enacted, regardless of the effective date. Given the potential for the new corporate income tax regime in Bermuda to supersede the Minister of Finance’s assurance, the Company is likely to become subject to taxes in Bermuda before 2035. The Bermuda CIT Act applies a 15% corporate income tax to certain Bermuda constituent entities of multi-national groups in fiscal years beginning on or after January 1, 2025. The act includes a provision referred to as the ETA, which is intended to provide a fair and equitable transition into the tax regime. Another provision defers the effective date until 2030 for Bermuda companies that meet certain requirements. The Company expects to meet the requirements to remain exempt until 2030 at which time it expects to incur and pay increased taxes in Bermuda. The Company has subsidiaries established in the U.S. and is subject to relevant taxes in the U.S.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provides the Company's income or loss before income taxes per tax jurisdiction, as well as the components of income tax attributable to operations:</w:t>
      </w:r>
    </w:p>
    <w:p>
      <w:pPr>
        <w:pStyle w:val="TextBody"/>
        <w:bidi w:val="0"/>
        <w:spacing w:before="0" w:after="0"/>
        <w:ind w:left="0" w:right="0" w:hanging="0"/>
        <w:jc w:val="left"/>
        <w:rPr>
          <w:caps w:val="false"/>
          <w:smallCaps w:val="false"/>
        </w:rPr>
      </w:pPr>
      <w:r>
        <w:rPr>
          <w:caps w:val="false"/>
          <w:smallCaps w:val="false"/>
        </w:rPr>
        <w:t> </w:t>
      </w:r>
    </w:p>
    <w:tbl>
      <w:tblPr>
        <w:tblW w:w="8198" w:type="dxa"/>
        <w:jc w:val="left"/>
        <w:tblInd w:w="0" w:type="dxa"/>
        <w:tblLayout w:type="fixed"/>
        <w:tblCellMar>
          <w:top w:w="0" w:type="dxa"/>
          <w:left w:w="0" w:type="dxa"/>
          <w:bottom w:w="0" w:type="dxa"/>
          <w:right w:w="0" w:type="dxa"/>
        </w:tblCellMar>
      </w:tblPr>
      <w:tblGrid>
        <w:gridCol w:w="4295"/>
        <w:gridCol w:w="60"/>
        <w:gridCol w:w="249"/>
        <w:gridCol w:w="1390"/>
        <w:gridCol w:w="275"/>
        <w:gridCol w:w="60"/>
        <w:gridCol w:w="249"/>
        <w:gridCol w:w="1390"/>
        <w:gridCol w:w="230"/>
      </w:tblGrid>
      <w:tr>
        <w:trPr/>
        <w:tc>
          <w:tcPr>
            <w:tcW w:w="42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sz w:val="20"/>
              </w:rPr>
            </w:pPr>
            <w:r>
              <w:rPr>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114,641</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110,719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63,503</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178,144</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100,816</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Federal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5,282</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State and Local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w:t>
            </w:r>
          </w:p>
        </w:tc>
        <w:tc>
          <w:tcPr>
            <w:tcW w:w="2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provision for current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6,422</w:t>
            </w:r>
          </w:p>
        </w:tc>
        <w:tc>
          <w:tcPr>
            <w:tcW w:w="2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(13,897</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Federal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(16,128</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w:t>
            </w:r>
          </w:p>
        </w:tc>
        <w:tc>
          <w:tcPr>
            <w:tcW w:w="2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(benefit) provision for deferred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(30,025</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p>
        </w:tc>
      </w:tr>
      <w:tr>
        <w:trPr/>
        <w:tc>
          <w:tcPr>
            <w:tcW w:w="42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(benefit) provision for income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(23,603</w:t>
            </w:r>
          </w:p>
        </w:tc>
        <w:tc>
          <w:tcPr>
            <w:tcW w:w="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w:t>
            </w:r>
          </w:p>
        </w:tc>
        <w:tc>
          <w:tcPr>
            <w:tcW w:w="2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2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tax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is the ratio of “Total (benefit) provision for income taxes” divided by “Income (loss) before income taxes.” The Company has operations in Bermuda and the United States, where the statutory tax rates are 15% and 21% respectively. For the years ended December 31, 2025, and December 31, 2024, the Company’s effective tax rate was (13)% and 0%, respectively, primarily due to the release of the Bermuda and US valuation allowance against ordinary deferred tax assets.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ASU 2023-09 "Income Taxes (Topic 740): Improvements To Income Tax Disclosures" on a retrospective basis beginning with the year ended December 31, 2025. The following table presents required disclosure pursuant to ASU 2023-09 and reconciles the U.S. federal statutory tax amount and rate to our actual global effective amount and rate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4955"/>
        <w:gridCol w:w="60"/>
        <w:gridCol w:w="134"/>
        <w:gridCol w:w="701"/>
        <w:gridCol w:w="86"/>
        <w:gridCol w:w="64"/>
        <w:gridCol w:w="65"/>
        <w:gridCol w:w="600"/>
        <w:gridCol w:w="275"/>
        <w:gridCol w:w="60"/>
        <w:gridCol w:w="134"/>
        <w:gridCol w:w="701"/>
        <w:gridCol w:w="86"/>
        <w:gridCol w:w="64"/>
        <w:gridCol w:w="65"/>
        <w:gridCol w:w="600"/>
        <w:gridCol w:w="260"/>
      </w:tblGrid>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2025</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5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br/>
              <w:t>December 31, 2024</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w:t>
            </w:r>
          </w:p>
        </w:tc>
        <w:tc>
          <w:tcPr>
            <w:tcW w:w="86" w:type="dxa"/>
            <w:tcBorders/>
            <w:vAlign w:val="center"/>
          </w:tcPr>
          <w:p>
            <w:pPr>
              <w:pStyle w:val="TableContents"/>
              <w:bidi w:val="0"/>
              <w:spacing w:before="0" w:after="283"/>
              <w:jc w:val="center"/>
              <w:rPr>
                <w:caps w:val="false"/>
                <w:smallCaps w:val="false"/>
              </w:rPr>
            </w:pPr>
            <w:r>
              <w:rPr>
                <w:caps w:val="false"/>
                <w:smallCaps w:val="false"/>
              </w:rPr>
              <w:t> </w:t>
            </w:r>
          </w:p>
        </w:tc>
        <w:tc>
          <w:tcPr>
            <w:tcW w:w="64" w:type="dxa"/>
            <w:tcBorders/>
            <w:vAlign w:val="center"/>
          </w:tcPr>
          <w:p>
            <w:pPr>
              <w:pStyle w:val="TableContents"/>
              <w:bidi w:val="0"/>
              <w:spacing w:before="0" w:after="283"/>
              <w:jc w:val="center"/>
              <w:rPr>
                <w:caps w:val="false"/>
                <w:smallCaps w:val="false"/>
              </w:rPr>
            </w:pPr>
            <w:r>
              <w:rPr>
                <w:caps w:val="false"/>
                <w:smallCaps w:val="false"/>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w:t>
            </w:r>
          </w:p>
        </w:tc>
        <w:tc>
          <w:tcPr>
            <w:tcW w:w="26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835"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5" w:type="dxa"/>
            <w:gridSpan w:val="2"/>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65" w:type="dxa"/>
            <w:gridSpan w:val="2"/>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 statutory tax - 15%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26,722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15,122</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 Deferral of Bermuda CIT Under Limited International</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Presence Exemption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(17,196</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(16,608</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(13,897</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tax effects:</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right"/>
              <w:rPr/>
            </w:pPr>
            <w:r>
              <w:rPr/>
              <w:t> </w:t>
            </w:r>
          </w:p>
        </w:tc>
        <w:tc>
          <w:tcPr>
            <w:tcW w:w="8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right"/>
              <w:rPr/>
            </w:pPr>
            <w:r>
              <w:rPr/>
              <w:t> </w:t>
            </w:r>
          </w:p>
        </w:tc>
        <w:tc>
          <w:tcPr>
            <w:tcW w:w="86"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00" w:type="dxa"/>
            <w:tcBorders/>
            <w:shd w:fill="CCEEFF" w:val="clear"/>
            <w:vAlign w:val="center"/>
          </w:tcPr>
          <w:p>
            <w:pPr>
              <w:pStyle w:val="TableContents"/>
              <w:bidi w:val="0"/>
              <w:spacing w:before="0" w:after="283"/>
              <w:jc w:val="right"/>
              <w:rPr/>
            </w:pPr>
            <w:r>
              <w:rPr/>
              <w:t> </w:t>
            </w:r>
          </w:p>
        </w:tc>
        <w:tc>
          <w:tcPr>
            <w:tcW w:w="2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Statutory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3,810</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State &amp; Local Tax</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1,140</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(21,223</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(12.00</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2,305</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on Transfer of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(3,213</w:t>
            </w:r>
          </w:p>
        </w:tc>
        <w:tc>
          <w:tcPr>
            <w:tcW w:w="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1"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w:t>
            </w:r>
          </w:p>
        </w:tc>
        <w:tc>
          <w:tcPr>
            <w:tcW w:w="8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Global effective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(23,603</w:t>
            </w:r>
          </w:p>
        </w:tc>
        <w:tc>
          <w:tcPr>
            <w:tcW w:w="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(13.86</w:t>
            </w:r>
          </w:p>
        </w:tc>
        <w:tc>
          <w:tcPr>
            <w:tcW w:w="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0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324</w:t>
            </w:r>
          </w:p>
        </w:tc>
        <w:tc>
          <w:tcPr>
            <w:tcW w:w="8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2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State and local taxes in Illinois and Florida made up the majority (greater than 50 percent) of the tax effect in this category.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ASU 2023-09 on a retrospective basis for the year ended December 31, 2025 and have included the following table as a result of our adoption, which presents income taxes paid (net of refunds received)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5353" w:type="dxa"/>
        <w:jc w:val="left"/>
        <w:tblInd w:w="0" w:type="dxa"/>
        <w:tblLayout w:type="fixed"/>
        <w:tblCellMar>
          <w:top w:w="0" w:type="dxa"/>
          <w:left w:w="0" w:type="dxa"/>
          <w:bottom w:w="0" w:type="dxa"/>
          <w:right w:w="0" w:type="dxa"/>
        </w:tblCellMar>
      </w:tblPr>
      <w:tblGrid>
        <w:gridCol w:w="1820"/>
        <w:gridCol w:w="60"/>
        <w:gridCol w:w="424"/>
        <w:gridCol w:w="1215"/>
        <w:gridCol w:w="60"/>
        <w:gridCol w:w="60"/>
        <w:gridCol w:w="681"/>
        <w:gridCol w:w="958"/>
        <w:gridCol w:w="75"/>
      </w:tblGrid>
      <w:tr>
        <w:trPr/>
        <w:tc>
          <w:tcPr>
            <w:tcW w:w="18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br/>
              <w:t>December 31, 2024</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1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taxes:</w:t>
            </w:r>
          </w:p>
        </w:tc>
        <w:tc>
          <w:tcPr>
            <w:tcW w:w="60" w:type="dxa"/>
            <w:tcBorders/>
            <w:shd w:fill="CCEEFF" w:val="clear"/>
            <w:vAlign w:val="center"/>
          </w:tcPr>
          <w:p>
            <w:pPr>
              <w:pStyle w:val="TableContents"/>
              <w:bidi w:val="0"/>
              <w:spacing w:before="0" w:after="283"/>
              <w:jc w:val="left"/>
              <w:rPr/>
            </w:pPr>
            <w:r>
              <w:rPr/>
              <w:t> </w:t>
            </w:r>
          </w:p>
        </w:tc>
        <w:tc>
          <w:tcPr>
            <w:tcW w:w="424" w:type="dxa"/>
            <w:tcBorders/>
            <w:shd w:fill="CCEEFF" w:val="clear"/>
            <w:vAlign w:val="center"/>
          </w:tcPr>
          <w:p>
            <w:pPr>
              <w:pStyle w:val="TableContents"/>
              <w:bidi w:val="0"/>
              <w:spacing w:before="0" w:after="283"/>
              <w:jc w:val="left"/>
              <w:rPr/>
            </w:pPr>
            <w:r>
              <w:rPr/>
              <w:t> </w:t>
            </w:r>
          </w:p>
        </w:tc>
        <w:tc>
          <w:tcPr>
            <w:tcW w:w="121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1"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Federal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8"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 State and Local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foreign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2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cash taxes paid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12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5,933</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has recorded a $30.0 million deferred tax benefit primarily due to the release of valuation allowance against its US and Bermuda ordinary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assessing whether a deferred tax asset can be recovered and assessing the need for a valuation allowance, the Company considers all positive and negative evidence to determine whether it is more likely than not that the tax benefit of part or all of a deferred tax asset will be realized. The Company’s framework for assessing the recoverability of deferred tax assets primarily considers future reversal of existing taxable temporary differences, available tax planning strategies and the expected occurrence of future taxable income. The weighting of the positive and negative evidence is commensurate with the extent to which they can be objectively verified. As of December 31, 2025, and December 31, 2024, we had a valuation allowance of $4.7 million and $39.8 million, respectively. We released a material portion of the valuation allowance during 2025 following our conclusion that we could demonstrate that it was more-likely-than-not that the related deferred tax assets will be realized.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components of the Company’s deferred income taxes as of the dates indicated were as follows:</w:t>
      </w:r>
    </w:p>
    <w:p>
      <w:pPr>
        <w:pStyle w:val="TextBody"/>
        <w:bidi w:val="0"/>
        <w:spacing w:before="0" w:after="0"/>
        <w:ind w:left="0" w:right="0" w:hanging="0"/>
        <w:jc w:val="left"/>
        <w:rPr/>
      </w:pPr>
      <w:r>
        <w:rPr>
          <w:caps w:val="false"/>
          <w:smallCaps w:val="false"/>
        </w:rPr>
        <w:t> </w:t>
      </w:r>
      <w:r>
        <w:rPr/>
        <w:t xml:space="preserve"> </w:t>
      </w:r>
    </w:p>
    <w:tbl>
      <w:tblPr>
        <w:tblW w:w="8948" w:type="dxa"/>
        <w:jc w:val="left"/>
        <w:tblInd w:w="0" w:type="dxa"/>
        <w:tblLayout w:type="fixed"/>
        <w:tblCellMar>
          <w:top w:w="0" w:type="dxa"/>
          <w:left w:w="0" w:type="dxa"/>
          <w:bottom w:w="0" w:type="dxa"/>
          <w:right w:w="0" w:type="dxa"/>
        </w:tblCellMar>
      </w:tblPr>
      <w:tblGrid>
        <w:gridCol w:w="3365"/>
        <w:gridCol w:w="60"/>
        <w:gridCol w:w="589"/>
        <w:gridCol w:w="2055"/>
        <w:gridCol w:w="80"/>
        <w:gridCol w:w="60"/>
        <w:gridCol w:w="425"/>
        <w:gridCol w:w="2219"/>
        <w:gridCol w:w="95"/>
      </w:tblGrid>
      <w:tr>
        <w:trPr/>
        <w:tc>
          <w:tcPr>
            <w:tcW w:w="3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 December 31, 2024</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2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assets:</w:t>
            </w:r>
          </w:p>
        </w:tc>
        <w:tc>
          <w:tcPr>
            <w:tcW w:w="60"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2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2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investment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Discounting of loss reserves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Compensation related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Bermuda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 software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56,974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1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55,210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589" w:type="dxa"/>
            <w:tcBorders/>
            <w:shd w:fill="FFFFFF" w:val="clear"/>
            <w:vAlign w:val="center"/>
          </w:tcPr>
          <w:p>
            <w:pPr>
              <w:pStyle w:val="TableContents"/>
              <w:bidi w:val="0"/>
              <w:spacing w:before="0" w:after="283"/>
              <w:jc w:val="left"/>
              <w:rPr/>
            </w:pPr>
            <w:r>
              <w:rPr/>
              <w:t> </w:t>
            </w:r>
          </w:p>
        </w:tc>
        <w:tc>
          <w:tcPr>
            <w:tcW w:w="20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221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589" w:type="dxa"/>
            <w:tcBorders/>
            <w:shd w:fill="CCEEFF" w:val="clear"/>
            <w:vAlign w:val="center"/>
          </w:tcPr>
          <w:p>
            <w:pPr>
              <w:pStyle w:val="TableContents"/>
              <w:bidi w:val="0"/>
              <w:spacing w:before="0" w:after="283"/>
              <w:jc w:val="left"/>
              <w:rPr/>
            </w:pPr>
            <w:r>
              <w:rPr/>
              <w:t> </w:t>
            </w:r>
          </w:p>
        </w:tc>
        <w:tc>
          <w:tcPr>
            <w:tcW w:w="20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pPr>
            <w:r>
              <w:rPr/>
              <w:t> </w:t>
            </w:r>
          </w:p>
        </w:tc>
        <w:tc>
          <w:tcPr>
            <w:tcW w:w="221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R&amp;D – software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intangible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fixed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Bonds market discount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 ceding commission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7,723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investment gains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1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deferred tax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17,334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deferred tax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5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29,511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1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37,876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Valuation allowance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21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(39,813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deferred tax assets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2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21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(1,937</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had no U.S.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income tax returns as required by the tax laws of the jurisdiction in which it operates. Tax years that remain subject to examination by major taxing jurisdictions are 2022 through 2024. The Company is not currently under examination by income tax authorities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Indefinite Reinvestment Assertions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 liabilities have not been accrued with respect to the undistributed earnings of the Company's U.S. subsidiaries. It is the Company’s intention that all earnings will be indefinitely reinvested. If the earnings were to be distributed, such amounts may be subject to withholding tax in the jurisdiction of the paying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Tax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Reduction Act. On August 7, 2022, the Inflation Reduction Act (“IRA”) was enacted into law. Key provisions of the IRA include a 15% book-income alternative minimum tax on corporations with financial accounting profits over $1 billion and a 1% excise tax on a publicly traded US corporation for the value of its stock that is repurchased by the corporation during the tax year. We have reviewed the relevant provisions of the IRA and have determined that as of December 31, 2025, the changes in tax law do not impact the Company.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the One Big Beautiful Bill Act ("the Act") was signed into law. The Act makes permanent key elements of the Tax Cuts and Jobs Act, including 100 percent bonus depreciation, domestic research cost expensing, increasing the Advanced Manufacturing Investment Credit rate to 35 percent from 25 percent for qualifying assets and making modifications to the international tax framework. The Act includes multiple effective dates, with certain provisions effective in 2025 and others phased in through 2027. We continue to evaluate the impact of the Act’s provisions that will take effect in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its subsequent events evaluation for the period subsequent to the balance sheet date of December 31, 2025, through March 11, 2026, the date the consolidated financial statements were available to be issued.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7" w:name="tm2620400d1_ex99-2.htm"/>
      <w:bookmarkStart w:id="28" w:name="kstm2620400d1_ex992"/>
      <w:bookmarkEnd w:id="27"/>
      <w:bookmarkEnd w:id="2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43300" cy="2238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543300" cy="2238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br/>
        <w:t>Table of Contents</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9650"/>
        <w:gridCol w:w="455"/>
      </w:tblGrid>
      <w:tr>
        <w:trPr/>
        <w:tc>
          <w:tcPr>
            <w:tcW w:w="9650" w:type="dxa"/>
            <w:tcBorders/>
            <w:vAlign w:val="center"/>
          </w:tcPr>
          <w:p>
            <w:pPr>
              <w:pStyle w:val="TableContents"/>
              <w:bidi w:val="0"/>
              <w:spacing w:before="0" w:after="283"/>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Balance Sheets as of March 31, 2026, and December 31, 2025 (Unaudited)</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Operations for the three months ended March 31, 2026, and 2025 (Unaudited)</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Comprehensive Income for the three months ended March 31, 2026, and 2025 (Unaudited)</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Changes in Equity for the three months ended March 31, 2026, and 2025 (Unaudited)</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Consolidated Statements of Cash Flows for the three months ended March 31, 2026, and 2025 (Unaudited)</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9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Notes to Consolidated Financial Statements (Unaudited)</w:t>
            </w:r>
          </w:p>
        </w:tc>
        <w:tc>
          <w:tcPr>
            <w:tcW w:w="455" w:type="dxa"/>
            <w:tcBorders/>
            <w:vAlign w:val="center"/>
          </w:tcPr>
          <w:p>
            <w:pPr>
              <w:pStyle w:val="TableContents"/>
              <w:bidi w:val="0"/>
              <w:spacing w:before="0" w:after="283"/>
              <w:jc w:val="center"/>
              <w:rPr>
                <w:sz w:val="20"/>
              </w:rPr>
            </w:pPr>
            <w:r>
              <w:rPr>
                <w:sz w:val="20"/>
              </w:rPr>
              <w:t>8</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1.</w:t>
            </w:r>
            <w:r>
              <w:rPr>
                <w:sz w:val="20"/>
              </w:rPr>
              <w:t xml:space="preserve"> </w:t>
            </w:r>
            <w:r>
              <w:rPr>
                <w:rFonts w:ascii="Times New Roman;Times;Serif" w:hAnsi="Times New Roman;Times;Serif"/>
                <w:sz w:val="20"/>
              </w:rPr>
              <w:t>Nature of Operations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2.</w:t>
            </w:r>
            <w:r>
              <w:rPr>
                <w:sz w:val="20"/>
              </w:rPr>
              <w:t xml:space="preserve"> </w:t>
            </w:r>
            <w:r>
              <w:rPr>
                <w:rFonts w:ascii="Times New Roman;Times;Serif" w:hAnsi="Times New Roman;Times;Serif"/>
                <w:sz w:val="20"/>
              </w:rPr>
              <w:t>Basis of Presentation</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3.</w:t>
            </w:r>
            <w:r>
              <w:rPr>
                <w:sz w:val="20"/>
              </w:rPr>
              <w:t xml:space="preserve"> </w:t>
            </w:r>
            <w:r>
              <w:rPr>
                <w:rFonts w:ascii="Times New Roman;Times;Serif" w:hAnsi="Times New Roman;Times;Serif"/>
                <w:sz w:val="20"/>
              </w:rPr>
              <w:t>Investments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4.</w:t>
            </w:r>
            <w:r>
              <w:rPr>
                <w:sz w:val="20"/>
              </w:rPr>
              <w:t xml:space="preserve"> </w:t>
            </w:r>
            <w:r>
              <w:rPr>
                <w:rFonts w:ascii="Times New Roman;Times;Serif" w:hAnsi="Times New Roman;Times;Serif"/>
                <w:sz w:val="20"/>
              </w:rPr>
              <w:t>Fair Value Measurements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5.</w:t>
            </w:r>
            <w:r>
              <w:rPr>
                <w:sz w:val="20"/>
              </w:rPr>
              <w:t xml:space="preserve"> </w:t>
            </w:r>
            <w:r>
              <w:rPr>
                <w:rFonts w:ascii="Times New Roman;Times;Serif" w:hAnsi="Times New Roman;Times;Serif"/>
                <w:sz w:val="20"/>
              </w:rPr>
              <w:t>Variable Interest Entities and Noncontrolling Interests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r>
      <w:tr>
        <w:trPr/>
        <w:tc>
          <w:tcPr>
            <w:tcW w:w="9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Reserves for claims and claim expenses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7.</w:t>
            </w:r>
            <w:r>
              <w:rPr>
                <w:sz w:val="20"/>
              </w:rPr>
              <w:t xml:space="preserve"> </w:t>
            </w:r>
            <w:r>
              <w:rPr>
                <w:rFonts w:ascii="Times New Roman;Times;Serif" w:hAnsi="Times New Roman;Times;Serif"/>
                <w:sz w:val="20"/>
              </w:rPr>
              <w:t>Shareholders’ Equity</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8.</w:t>
            </w:r>
            <w:r>
              <w:rPr>
                <w:sz w:val="20"/>
              </w:rPr>
              <w:t xml:space="preserve"> </w:t>
            </w:r>
            <w:r>
              <w:rPr>
                <w:rFonts w:ascii="Times New Roman;Times;Serif" w:hAnsi="Times New Roman;Times;Serif"/>
                <w:sz w:val="20"/>
              </w:rPr>
              <w:t>Stock Based Compensation</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9.</w:t>
            </w:r>
            <w:r>
              <w:rPr>
                <w:sz w:val="20"/>
              </w:rPr>
              <w:t xml:space="preserve"> </w:t>
            </w:r>
            <w:r>
              <w:rPr>
                <w:rFonts w:ascii="Times New Roman;Times;Serif" w:hAnsi="Times New Roman;Times;Serif"/>
                <w:sz w:val="20"/>
              </w:rPr>
              <w:t>Commitments, Contingencies and Other Items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10.</w:t>
            </w:r>
            <w:r>
              <w:rPr>
                <w:sz w:val="20"/>
              </w:rPr>
              <w:t xml:space="preserve"> </w:t>
            </w:r>
            <w:r>
              <w:rPr>
                <w:rFonts w:ascii="Times New Roman;Times;Serif" w:hAnsi="Times New Roman;Times;Serif"/>
                <w:sz w:val="20"/>
              </w:rPr>
              <w:t>Segment Information</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9650" w:type="dxa"/>
            <w:tcBorders/>
            <w:vAlign w:val="center"/>
          </w:tcPr>
          <w:p>
            <w:pPr>
              <w:pStyle w:val="TableContents"/>
              <w:bidi w:val="0"/>
              <w:spacing w:before="0" w:after="283"/>
              <w:jc w:val="left"/>
              <w:rPr>
                <w:sz w:val="20"/>
              </w:rPr>
            </w:pPr>
            <w:r>
              <w:rPr>
                <w:rFonts w:ascii="Times New Roman;Times;Serif" w:hAnsi="Times New Roman;Times;Serif"/>
                <w:sz w:val="20"/>
              </w:rPr>
              <w:t>11.</w:t>
            </w:r>
            <w:r>
              <w:rPr>
                <w:sz w:val="20"/>
              </w:rPr>
              <w:t xml:space="preserve"> </w:t>
            </w:r>
            <w:r>
              <w:rPr>
                <w:rFonts w:ascii="Times New Roman;Times;Serif" w:hAnsi="Times New Roman;Times;Serif"/>
                <w:sz w:val="20"/>
              </w:rPr>
              <w:t>Subsequent Events</w:t>
            </w:r>
          </w:p>
        </w:tc>
        <w:tc>
          <w:tcPr>
            <w:tcW w:w="4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 except number of shares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5"/>
        <w:gridCol w:w="60"/>
        <w:gridCol w:w="125"/>
        <w:gridCol w:w="845"/>
        <w:gridCol w:w="80"/>
        <w:gridCol w:w="60"/>
        <w:gridCol w:w="151"/>
        <w:gridCol w:w="1024"/>
        <w:gridCol w:w="75"/>
      </w:tblGrid>
      <w:tr>
        <w:trPr/>
        <w:tc>
          <w:tcPr>
            <w:tcW w:w="7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left"/>
              <w:rPr/>
            </w:pPr>
            <w:r>
              <w:rPr/>
              <w:t> </w:t>
            </w:r>
          </w:p>
        </w:tc>
      </w:tr>
      <w:tr>
        <w:trPr/>
        <w:tc>
          <w:tcPr>
            <w:tcW w:w="77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March 31,</w:t>
              <w:br/>
              <w:t>2026</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December 31,</w:t>
              <w:br/>
              <w:t>2025</w:t>
            </w:r>
          </w:p>
        </w:tc>
        <w:tc>
          <w:tcPr>
            <w:tcW w:w="75" w:type="dxa"/>
            <w:tcBorders/>
            <w:vAlign w:val="center"/>
          </w:tcPr>
          <w:p>
            <w:pPr>
              <w:pStyle w:val="TableContents"/>
              <w:bidi w:val="0"/>
              <w:spacing w:before="0" w:after="283"/>
              <w:jc w:val="center"/>
              <w:rPr/>
            </w:pPr>
            <w:r>
              <w:rPr/>
              <w:t> </w:t>
            </w:r>
          </w:p>
        </w:tc>
      </w:tr>
      <w:tr>
        <w:trPr/>
        <w:tc>
          <w:tcPr>
            <w:tcW w:w="7785" w:type="dxa"/>
            <w:tcBorders/>
            <w:shd w:fill="CCEEFF" w:val="clear"/>
            <w:vAlign w:val="center"/>
          </w:tcPr>
          <w:p>
            <w:pPr>
              <w:pStyle w:val="TableContents"/>
              <w:bidi w:val="0"/>
              <w:spacing w:before="0" w:after="283"/>
              <w:jc w:val="left"/>
              <w:rPr>
                <w:b/>
                <w:sz w:val="20"/>
              </w:rPr>
            </w:pPr>
            <w:r>
              <w:rPr>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sz w:val="20"/>
              </w:rPr>
            </w:pPr>
            <w:r>
              <w:rPr>
                <w:sz w:val="20"/>
              </w:rPr>
              <w:t xml:space="preserve">Fixed maturity securities available for sale, at fair value (amortized cost - $2,689,738 and </w:t>
            </w:r>
            <w:r>
              <w:rPr>
                <w:rFonts w:ascii="Times New Roman;Times;Serif" w:hAnsi="Times New Roman;Times;Serif"/>
                <w:sz w:val="20"/>
              </w:rPr>
              <w:t>$2,587,814 at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2,685,196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2,610,599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security held to maturity, at amortized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2,742,225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2,662,837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309,431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investment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20,438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635,767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531,466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reinsurance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397,671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391,919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125,777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receivable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held by third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83,613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5,160,335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4,861,544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2,061,237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1,942,748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1,183,003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balances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99,249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3,719,911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3,461,081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b/>
                <w:sz w:val="20"/>
              </w:rPr>
            </w:pPr>
            <w:r>
              <w:rPr>
                <w:b/>
                <w:sz w:val="20"/>
              </w:rPr>
              <w:t>COMMITMENTS AND CONTINGENCIES (NOTE 10)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7785" w:type="dxa"/>
            <w:tcBorders/>
            <w:shd w:fill="CCEEFF" w:val="clear"/>
            <w:vAlign w:val="center"/>
          </w:tcPr>
          <w:p>
            <w:pPr>
              <w:pStyle w:val="TableContents"/>
              <w:bidi w:val="0"/>
              <w:spacing w:before="0" w:after="283"/>
              <w:jc w:val="left"/>
              <w:rPr>
                <w:b/>
                <w:sz w:val="20"/>
              </w:rPr>
            </w:pPr>
            <w:r>
              <w:rPr>
                <w:b/>
                <w:sz w:val="20"/>
              </w:rPr>
              <w:t>SHAREHOLDERS’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7785" w:type="dxa"/>
            <w:tcBorders/>
            <w:shd w:fill="FFFFFF" w:val="clear"/>
            <w:vAlign w:val="center"/>
          </w:tcPr>
          <w:p>
            <w:pPr>
              <w:pStyle w:val="TableContents"/>
              <w:bidi w:val="0"/>
              <w:spacing w:before="0" w:after="283"/>
              <w:jc w:val="left"/>
              <w:rPr>
                <w:sz w:val="20"/>
              </w:rPr>
            </w:pPr>
            <w:r>
              <w:rPr>
                <w:sz w:val="20"/>
              </w:rPr>
              <w:t>Common shares, $10.00 par value, 150,000,000 shares authorized, 123,666,492 and 123,666,492 shares issued and outstanding at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94,171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Vantage Group Holdings Ltd. shareholders’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1,432,728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1,392,859</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1,440,424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1,400,463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7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5,160,335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4,861,544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8543" w:type="dxa"/>
        <w:jc w:val="left"/>
        <w:tblInd w:w="0" w:type="dxa"/>
        <w:tblLayout w:type="fixed"/>
        <w:tblCellMar>
          <w:top w:w="0" w:type="dxa"/>
          <w:left w:w="0" w:type="dxa"/>
          <w:bottom w:w="0" w:type="dxa"/>
          <w:right w:w="0" w:type="dxa"/>
        </w:tblCellMar>
      </w:tblPr>
      <w:tblGrid>
        <w:gridCol w:w="4790"/>
        <w:gridCol w:w="60"/>
        <w:gridCol w:w="263"/>
        <w:gridCol w:w="1466"/>
        <w:gridCol w:w="80"/>
        <w:gridCol w:w="60"/>
        <w:gridCol w:w="263"/>
        <w:gridCol w:w="1466"/>
        <w:gridCol w:w="95"/>
      </w:tblGrid>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729"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9"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tab/>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sz w:val="20"/>
              </w:rPr>
            </w:pPr>
            <w:r>
              <w:rPr>
                <w:sz w:val="20"/>
              </w:rPr>
              <w:t>$</w:t>
            </w:r>
          </w:p>
        </w:tc>
        <w:tc>
          <w:tcPr>
            <w:tcW w:w="1466" w:type="dxa"/>
            <w:tcBorders/>
            <w:shd w:fill="FFFFFF" w:val="clear"/>
            <w:vAlign w:val="center"/>
          </w:tcPr>
          <w:p>
            <w:pPr>
              <w:pStyle w:val="TableContents"/>
              <w:bidi w:val="0"/>
              <w:spacing w:before="0" w:after="283"/>
              <w:jc w:val="right"/>
              <w:rPr>
                <w:sz w:val="20"/>
              </w:rPr>
            </w:pPr>
            <w:r>
              <w:rPr>
                <w:sz w:val="20"/>
              </w:rPr>
              <w:t>285,034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sz w:val="20"/>
              </w:rPr>
            </w:pPr>
            <w:r>
              <w:rPr>
                <w:sz w:val="20"/>
              </w:rPr>
              <w:t>$</w:t>
            </w:r>
          </w:p>
        </w:tc>
        <w:tc>
          <w:tcPr>
            <w:tcW w:w="1466" w:type="dxa"/>
            <w:tcBorders/>
            <w:shd w:fill="FFFFFF" w:val="clear"/>
            <w:vAlign w:val="center"/>
          </w:tcPr>
          <w:p>
            <w:pPr>
              <w:pStyle w:val="TableContents"/>
              <w:bidi w:val="0"/>
              <w:spacing w:before="0" w:after="283"/>
              <w:jc w:val="right"/>
              <w:rPr>
                <w:sz w:val="20"/>
              </w:rPr>
            </w:pPr>
            <w:r>
              <w:rPr>
                <w:sz w:val="20"/>
              </w:rPr>
              <w:t>236,725</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334,801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251,360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shd w:fill="FFFFFF" w:val="clear"/>
            <w:vAlign w:val="center"/>
          </w:tcPr>
          <w:p>
            <w:pPr>
              <w:pStyle w:val="TableContents"/>
              <w:bidi w:val="0"/>
              <w:spacing w:before="0" w:after="283"/>
              <w:jc w:val="left"/>
              <w:rPr/>
            </w:pPr>
            <w:r>
              <w:rPr/>
              <w:t> </w:t>
            </w:r>
          </w:p>
        </w:tc>
        <w:tc>
          <w:tcPr>
            <w:tcW w:w="14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156,671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40,605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262,624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242,510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65,275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66"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6,902</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COMPREHENSIVE INCOME</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9063" w:type="dxa"/>
        <w:jc w:val="left"/>
        <w:tblInd w:w="0" w:type="dxa"/>
        <w:tblLayout w:type="fixed"/>
        <w:tblCellMar>
          <w:top w:w="0" w:type="dxa"/>
          <w:left w:w="0" w:type="dxa"/>
          <w:bottom w:w="0" w:type="dxa"/>
          <w:right w:w="0" w:type="dxa"/>
        </w:tblCellMar>
      </w:tblPr>
      <w:tblGrid>
        <w:gridCol w:w="5330"/>
        <w:gridCol w:w="60"/>
        <w:gridCol w:w="279"/>
        <w:gridCol w:w="1450"/>
        <w:gridCol w:w="80"/>
        <w:gridCol w:w="60"/>
        <w:gridCol w:w="302"/>
        <w:gridCol w:w="1427"/>
        <w:gridCol w:w="75"/>
      </w:tblGrid>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9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sz w:val="20"/>
              </w:rPr>
            </w:pPr>
            <w:r>
              <w:rPr>
                <w:sz w:val="20"/>
              </w:rPr>
              <w:t>$</w:t>
            </w:r>
          </w:p>
        </w:tc>
        <w:tc>
          <w:tcPr>
            <w:tcW w:w="1450" w:type="dxa"/>
            <w:tcBorders/>
            <w:shd w:fill="CCEEFF" w:val="clear"/>
            <w:vAlign w:val="center"/>
          </w:tcPr>
          <w:p>
            <w:pPr>
              <w:pStyle w:val="TableContents"/>
              <w:bidi w:val="0"/>
              <w:spacing w:before="0" w:after="283"/>
              <w:jc w:val="right"/>
              <w:rPr>
                <w:sz w:val="20"/>
              </w:rPr>
            </w:pPr>
            <w:r>
              <w:rPr>
                <w:sz w:val="20"/>
              </w:rPr>
              <w:t>65,367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shd w:fill="CCEEFF" w:val="clear"/>
            <w:vAlign w:val="center"/>
          </w:tcPr>
          <w:p>
            <w:pPr>
              <w:pStyle w:val="TableContents"/>
              <w:bidi w:val="0"/>
              <w:spacing w:before="0" w:after="283"/>
              <w:jc w:val="left"/>
              <w:rPr>
                <w:sz w:val="20"/>
              </w:rPr>
            </w:pPr>
            <w:r>
              <w:rPr>
                <w:sz w:val="20"/>
              </w:rPr>
              <w:t>$</w:t>
            </w:r>
          </w:p>
        </w:tc>
        <w:tc>
          <w:tcPr>
            <w:tcW w:w="1427" w:type="dxa"/>
            <w:tcBorders/>
            <w:shd w:fill="CCEEFF" w:val="clear"/>
            <w:vAlign w:val="center"/>
          </w:tcPr>
          <w:p>
            <w:pPr>
              <w:pStyle w:val="TableContents"/>
              <w:bidi w:val="0"/>
              <w:spacing w:before="0" w:after="283"/>
              <w:jc w:val="right"/>
              <w:rPr>
                <w:sz w:val="20"/>
              </w:rPr>
            </w:pPr>
            <w:r>
              <w:rPr>
                <w:sz w:val="20"/>
              </w:rPr>
              <w:t>7,014</w:t>
            </w:r>
          </w:p>
        </w:tc>
        <w:tc>
          <w:tcPr>
            <w:tcW w:w="75"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b/>
                <w:sz w:val="20"/>
              </w:rPr>
            </w:pPr>
            <w:r>
              <w:rPr>
                <w:b/>
                <w:sz w:val="20"/>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279"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2" w:type="dxa"/>
            <w:tcBorders/>
            <w:shd w:fill="FFFFFF" w:val="clear"/>
            <w:vAlign w:val="center"/>
          </w:tcPr>
          <w:p>
            <w:pPr>
              <w:pStyle w:val="TableContents"/>
              <w:bidi w:val="0"/>
              <w:spacing w:before="0" w:after="283"/>
              <w:jc w:val="left"/>
              <w:rPr/>
            </w:pPr>
            <w:r>
              <w:rPr/>
              <w:t> </w:t>
            </w:r>
          </w:p>
        </w:tc>
        <w:tc>
          <w:tcPr>
            <w:tcW w:w="142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283"/>
              <w:jc w:val="left"/>
              <w:rPr>
                <w:sz w:val="20"/>
              </w:rPr>
            </w:pPr>
            <w:r>
              <w:rPr>
                <w:sz w:val="20"/>
              </w:rPr>
              <w:t>Change in net unrealized (gains) losses on investments, net of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comprehensive (loss)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(27,391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21,230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comprehensive income</w:t>
            </w:r>
          </w:p>
        </w:tc>
        <w:tc>
          <w:tcPr>
            <w:tcW w:w="60" w:type="dxa"/>
            <w:tcBorders/>
            <w:shd w:fill="CCEEFF" w:val="clear"/>
            <w:vAlign w:val="center"/>
          </w:tcPr>
          <w:p>
            <w:pPr>
              <w:pStyle w:val="TableContents"/>
              <w:bidi w:val="0"/>
              <w:spacing w:before="0" w:after="283"/>
              <w:jc w:val="left"/>
              <w:rPr/>
            </w:pPr>
            <w:r>
              <w:rPr/>
              <w:t> </w:t>
            </w:r>
          </w:p>
        </w:tc>
        <w:tc>
          <w:tcPr>
            <w:tcW w:w="27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37,976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2"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27"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28,244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EQUITY</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837"/>
        <w:gridCol w:w="60"/>
        <w:gridCol w:w="125"/>
        <w:gridCol w:w="845"/>
        <w:gridCol w:w="60"/>
        <w:gridCol w:w="125"/>
        <w:gridCol w:w="952"/>
        <w:gridCol w:w="80"/>
        <w:gridCol w:w="125"/>
        <w:gridCol w:w="802"/>
        <w:gridCol w:w="80"/>
        <w:gridCol w:w="125"/>
        <w:gridCol w:w="1327"/>
        <w:gridCol w:w="80"/>
        <w:gridCol w:w="125"/>
        <w:gridCol w:w="1310"/>
        <w:gridCol w:w="80"/>
        <w:gridCol w:w="125"/>
        <w:gridCol w:w="845"/>
        <w:gridCol w:w="97"/>
      </w:tblGrid>
      <w:tr>
        <w:trPr/>
        <w:tc>
          <w:tcPr>
            <w:tcW w:w="10108" w:type="dxa"/>
            <w:gridSpan w:val="19"/>
            <w:tcBorders>
              <w:bottom w:val="single" w:sz="8" w:space="0" w:color="000000"/>
            </w:tcBorders>
            <w:vAlign w:val="center"/>
          </w:tcPr>
          <w:p>
            <w:pPr>
              <w:pStyle w:val="TableContents"/>
              <w:bidi w:val="0"/>
              <w:spacing w:before="0" w:after="283"/>
              <w:jc w:val="center"/>
              <w:rPr>
                <w:b/>
                <w:sz w:val="20"/>
              </w:rPr>
            </w:pPr>
            <w:r>
              <w:rPr>
                <w:b/>
                <w:sz w:val="20"/>
              </w:rPr>
              <w:t>(Unaudited)</w:t>
            </w:r>
          </w:p>
        </w:tc>
        <w:tc>
          <w:tcPr>
            <w:tcW w:w="97" w:type="dxa"/>
            <w:tcBorders/>
            <w:tcMar>
              <w:bottom w:w="0" w:type="dxa"/>
            </w:tcMar>
            <w:vAlign w:val="center"/>
          </w:tcPr>
          <w:p>
            <w:pPr>
              <w:pStyle w:val="TableContents"/>
              <w:bidi w:val="0"/>
              <w:spacing w:before="0" w:after="283"/>
              <w:jc w:val="center"/>
              <w:rPr/>
            </w:pPr>
            <w:r>
              <w:rPr/>
              <w:t> </w:t>
            </w:r>
          </w:p>
        </w:tc>
      </w:tr>
      <w:tr>
        <w:trPr/>
        <w:tc>
          <w:tcPr>
            <w:tcW w:w="283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211" w:type="dxa"/>
            <w:gridSpan w:val="17"/>
            <w:tcBorders>
              <w:bottom w:val="single" w:sz="8" w:space="0" w:color="000000"/>
            </w:tcBorders>
            <w:vAlign w:val="center"/>
          </w:tcPr>
          <w:p>
            <w:pPr>
              <w:pStyle w:val="TableContents"/>
              <w:bidi w:val="0"/>
              <w:spacing w:before="0" w:after="283"/>
              <w:jc w:val="center"/>
              <w:rPr>
                <w:b/>
                <w:sz w:val="20"/>
              </w:rPr>
            </w:pPr>
            <w:r>
              <w:rPr>
                <w:b/>
                <w:sz w:val="20"/>
              </w:rPr>
              <w:t xml:space="preserve">Three months ended March 31, 2026 </w:t>
            </w:r>
          </w:p>
        </w:tc>
        <w:tc>
          <w:tcPr>
            <w:tcW w:w="97" w:type="dxa"/>
            <w:tcBorders/>
            <w:tcMar>
              <w:bottom w:w="0" w:type="dxa"/>
            </w:tcMar>
            <w:vAlign w:val="center"/>
          </w:tcPr>
          <w:p>
            <w:pPr>
              <w:pStyle w:val="TableContents"/>
              <w:bidi w:val="0"/>
              <w:spacing w:before="0" w:after="283"/>
              <w:jc w:val="center"/>
              <w:rPr/>
            </w:pPr>
            <w:r>
              <w:rPr/>
              <w:t> </w:t>
            </w:r>
          </w:p>
        </w:tc>
      </w:tr>
      <w:tr>
        <w:trPr/>
        <w:tc>
          <w:tcPr>
            <w:tcW w:w="2837"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w:t>
              <w:br/>
              <w:t>shares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7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 xml:space="preserve">paid-in </w:t>
              <w:br/>
              <w:t>capital</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earnings</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5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other</w:t>
              <w:br/>
              <w:t>comprehensive</w:t>
              <w:br/>
              <w:t>income (loss)</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3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br/>
              <w:t>interest</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42,455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19,568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1,400,463</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(27,391</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65,367</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March 31, 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1,236,665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44,440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159,446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7,696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1,440,424</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7211" w:type="dxa"/>
            <w:gridSpan w:val="17"/>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March 31, 2025</w:t>
            </w:r>
          </w:p>
        </w:tc>
        <w:tc>
          <w:tcPr>
            <w:tcW w:w="97" w:type="dxa"/>
            <w:tcBorders/>
            <w:shd w:fill="FFFFFF" w:val="clear"/>
            <w:tcMar>
              <w:bottom w:w="0" w:type="dxa"/>
            </w:tcMar>
            <w:vAlign w:val="center"/>
          </w:tcPr>
          <w:p>
            <w:pPr>
              <w:pStyle w:val="TableContents"/>
              <w:bidi w:val="0"/>
              <w:spacing w:before="0" w:after="283"/>
              <w:jc w:val="center"/>
              <w:rPr/>
            </w:pPr>
            <w:r>
              <w:rPr/>
              <w:t> </w:t>
            </w:r>
          </w:p>
        </w:tc>
      </w:tr>
      <w:tr>
        <w:trPr/>
        <w:tc>
          <w:tcPr>
            <w:tcW w:w="2837"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Common </w:t>
              <w:br/>
              <w:t>shares</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5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br/>
              <w:t xml:space="preserve">paid-in </w:t>
              <w:br/>
              <w:t>capital</w:t>
            </w:r>
          </w:p>
        </w:tc>
        <w:tc>
          <w:tcPr>
            <w:tcW w:w="8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2"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Retained </w:t>
              <w:br/>
              <w:t>deficit</w:t>
            </w:r>
          </w:p>
        </w:tc>
        <w:tc>
          <w:tcPr>
            <w:tcW w:w="8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27"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br/>
              <w:t xml:space="preserve">other </w:t>
              <w:br/>
              <w:t xml:space="preserve">comprehensive </w:t>
              <w:br/>
              <w:t>loss</w:t>
            </w:r>
          </w:p>
        </w:tc>
        <w:tc>
          <w:tcPr>
            <w:tcW w:w="8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Noncontrolling</w:t>
              <w:br/>
              <w:t>interest</w:t>
            </w:r>
          </w:p>
        </w:tc>
        <w:tc>
          <w:tcPr>
            <w:tcW w:w="8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7"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 as of December 31, 2024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1,235,671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35,536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(27,161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1,144,186</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from 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based compensation expense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21,230</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2"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7,014</w:t>
            </w:r>
          </w:p>
        </w:tc>
        <w:tc>
          <w:tcPr>
            <w:tcW w:w="9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837"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as of March 31, 2025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1,236,159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5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37,067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2"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(95,968</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2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1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1,174,337</w:t>
            </w:r>
          </w:p>
        </w:tc>
        <w:tc>
          <w:tcPr>
            <w:tcW w:w="9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pBdr>
          <w:bottom w:val="single" w:sz="8" w:space="1" w:color="000000"/>
        </w:pBd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(Expressed in 000’s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32"/>
        <w:gridCol w:w="60"/>
        <w:gridCol w:w="239"/>
        <w:gridCol w:w="1448"/>
        <w:gridCol w:w="80"/>
        <w:gridCol w:w="60"/>
        <w:gridCol w:w="239"/>
        <w:gridCol w:w="1448"/>
        <w:gridCol w:w="99"/>
      </w:tblGrid>
      <w:tr>
        <w:trPr/>
        <w:tc>
          <w:tcPr>
            <w:tcW w:w="653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51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tc>
        <w:tc>
          <w:tcPr>
            <w:tcW w:w="99" w:type="dxa"/>
            <w:tcBorders/>
            <w:vAlign w:val="center"/>
          </w:tcPr>
          <w:p>
            <w:pPr>
              <w:pStyle w:val="TableContents"/>
              <w:bidi w:val="0"/>
              <w:spacing w:before="0" w:after="283"/>
              <w:jc w:val="center"/>
              <w:rPr/>
            </w:pPr>
            <w:r>
              <w:rPr/>
              <w:t> </w:t>
            </w:r>
          </w:p>
        </w:tc>
      </w:tr>
      <w:tr>
        <w:trPr/>
        <w:tc>
          <w:tcPr>
            <w:tcW w:w="65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3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6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2025</w:t>
            </w:r>
          </w:p>
        </w:tc>
        <w:tc>
          <w:tcPr>
            <w:tcW w:w="99"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b/>
                <w:sz w:val="20"/>
              </w:rPr>
            </w:pPr>
            <w:r>
              <w:rPr>
                <w:b/>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3514" w:type="dxa"/>
            <w:gridSpan w:val="6"/>
            <w:tcBorders/>
            <w:shd w:fill="CCEEFF" w:val="clear"/>
            <w:vAlign w:val="center"/>
          </w:tcPr>
          <w:p>
            <w:pPr>
              <w:pStyle w:val="TableContents"/>
              <w:bidi w:val="0"/>
              <w:spacing w:before="0" w:after="283"/>
              <w:jc w:val="center"/>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sz w:val="20"/>
              </w:rPr>
            </w:pPr>
            <w:r>
              <w:rPr>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sz w:val="20"/>
              </w:rPr>
            </w:pPr>
            <w:r>
              <w:rPr>
                <w:sz w:val="20"/>
              </w:rPr>
              <w:t>$</w:t>
            </w:r>
          </w:p>
        </w:tc>
        <w:tc>
          <w:tcPr>
            <w:tcW w:w="1448" w:type="dxa"/>
            <w:tcBorders/>
            <w:shd w:fill="FFFFFF" w:val="clear"/>
            <w:vAlign w:val="center"/>
          </w:tcPr>
          <w:p>
            <w:pPr>
              <w:pStyle w:val="TableContents"/>
              <w:bidi w:val="0"/>
              <w:spacing w:before="0" w:after="283"/>
              <w:jc w:val="right"/>
              <w:rPr>
                <w:sz w:val="20"/>
              </w:rPr>
            </w:pPr>
            <w:r>
              <w:rPr>
                <w:sz w:val="20"/>
              </w:rPr>
              <w:t>7,014</w:t>
            </w:r>
          </w:p>
        </w:tc>
        <w:tc>
          <w:tcPr>
            <w:tcW w:w="99" w:type="dxa"/>
            <w:tcBorders/>
            <w:shd w:fill="FFFFFF" w:val="clear"/>
            <w:vAlign w:val="center"/>
          </w:tcPr>
          <w:p>
            <w:pPr>
              <w:pStyle w:val="TableContents"/>
              <w:bidi w:val="0"/>
              <w:spacing w:before="0" w:after="283"/>
              <w:jc w:val="left"/>
              <w:rPr/>
            </w:pPr>
            <w:r>
              <w:rPr/>
              <w:t> </w:t>
            </w:r>
          </w:p>
        </w:tc>
      </w:tr>
      <w:tr>
        <w:trPr/>
        <w:tc>
          <w:tcPr>
            <w:tcW w:w="6532" w:type="dxa"/>
            <w:tcBorders/>
            <w:shd w:fill="CCEEFF" w:val="clear"/>
            <w:vAlign w:val="center"/>
          </w:tcPr>
          <w:p>
            <w:pPr>
              <w:pStyle w:val="TableContents"/>
              <w:bidi w:val="0"/>
              <w:spacing w:before="0" w:after="283"/>
              <w:jc w:val="left"/>
              <w:rPr>
                <w:b/>
                <w:sz w:val="20"/>
              </w:rPr>
            </w:pPr>
            <w:r>
              <w:rPr>
                <w:b/>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amortization, and accretion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936</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gains on foreign exchange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(6,439</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(156,074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(34,414</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reinsurance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(16,508</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(42,968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(56,916</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income receivable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12,251</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Funds held by third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(2,216</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138,983</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206,372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balances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10,190</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Payable for investments purchased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(4,668</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103,605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106,760</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fixed 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(230,416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(333,595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fixed maturity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9,063</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calls, and paydowns of fixed maturity securities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72,018</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change in short term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of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(106,266</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(252,654</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1448"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(112</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decrease in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(2,661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8"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(146,006</w:t>
            </w:r>
          </w:p>
        </w:tc>
        <w:tc>
          <w:tcPr>
            <w:tcW w:w="9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5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9" w:type="dxa"/>
            <w:tcBorders/>
            <w:shd w:fill="CCEEFF" w:val="clear"/>
            <w:vAlign w:val="center"/>
          </w:tcPr>
          <w:p>
            <w:pPr>
              <w:pStyle w:val="TableContents"/>
              <w:bidi w:val="0"/>
              <w:spacing w:before="0" w:after="283"/>
              <w:jc w:val="left"/>
              <w:rPr/>
            </w:pPr>
            <w:r>
              <w:rPr/>
              <w:t> </w:t>
            </w:r>
          </w:p>
        </w:tc>
        <w:tc>
          <w:tcPr>
            <w:tcW w:w="1448"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653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cash—beginning of year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356,445</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53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and restricted cash—end of year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311,287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48"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210,439</w:t>
            </w:r>
          </w:p>
        </w:tc>
        <w:tc>
          <w:tcPr>
            <w:tcW w:w="9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interim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Group Holdings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Group Holdings Ltd. (the “Company” or “Vantage” or “we” or “our”) is a privately held Bermuda-exempted company that provides property, casualty, and specialty (re)insurance through its wholly owned subsidiaries and provides underwriting services to a registered collateralized insurer and segregated accounts company in Bermuda. The Company was incorporated on July 28, 2020, and is majority owned by funds managed by The Carlyle Group, Inc. (“Carlyle”) and Hellman &amp; Friedman LLC (“H&amp;F”). The Company’s principal operating subsidiaries, located in Bermuda and the United States,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Ltd. (“VRL”), a Bermuda domiciled company, provides property, casualty, and specialty (re)insurance on a worldwide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Specialty Insurance Company (“VRSIC”), domiciled in Delaware, is a property and casualty insurance company which operates as an excess and surplus lines insurance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Vantage Risk Assurance Company (“VRAC”), domiciled in Delaware, is a property and casualty insurance company which writes business on an admitted basis in 49 U.S.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a subsidiary of Howard Hughes Holdings Inc. entered into a definitive agreement to acquire 100% of the Company from the Company’s current shareholders, including Carlyle and H&amp;F. The transaction is expected to close in the second quarter of 2026, subject to customary regulatory approvals.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unaudited interim consolidated financial statements have been prepared in accordance with accounting principles generally accepted in the United States of America (“GAAP”). These statements do not include all of the information and notes required by GAAP for complete financial statements. The interim financial data as of March 31, 2026 and for the three months ended March 31, 2026 is unaudited. In the opinion of management, the interim data includes all adjustments necessary for a fair statement of the results for the interim period. The unaudited interim consolidated financial statements include the accounts of the Company and all of its wholly owned subsidiaries and any variable interest entity (“VIE”) in which the Company is considered to be the primary beneficiary. All intercompany transactions and balances are eliminated in consolidation. Operating results for the three months ended March 31, 2026 are not necessarily indicative of the results that may be expected for the year ending December 31, 2026.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Ultimate actual results could differ, possibly materially, from those estimates. Amounts are presented in United States of America (“U.S.”) Dollars. Certain prior period amounts have been reclassified to conform to the 2026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FASB issued ASU 2025-06, Targeted Improvements to the Accounting for Internal-Use Software. This ASU updates the capitalization framework for internal-use software development costs to reflect current development practices. It replaces the concept of project stages with a recognition threshold based on whether completion is probable. The ASU also modifies guidance for website development costs and aligns disclosure requirements for capitalized software costs with those for 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ASU is effective for all entities for fiscal years, including interim periods, beginning after December 15, 2027. Early adoption is permitted. Entities may apply the guidance using a prospective, retrospective or modified transition approach. The Company is currently evaluating the potential impact of the new standard on its financial statements and anticipates finishing this evaluation before the effective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cost or amortized cost, gross unrealized gains and losses, fair value and credit allowance of the Company’s available-for-sale (“AFS”) fixed maturity securities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7175" w:type="dxa"/>
        <w:jc w:val="left"/>
        <w:tblInd w:w="0" w:type="dxa"/>
        <w:tblLayout w:type="fixed"/>
        <w:tblCellMar>
          <w:top w:w="0" w:type="dxa"/>
          <w:left w:w="0" w:type="dxa"/>
          <w:bottom w:w="28" w:type="dxa"/>
          <w:right w:w="0" w:type="dxa"/>
        </w:tblCellMar>
      </w:tblPr>
      <w:tblGrid>
        <w:gridCol w:w="1790"/>
        <w:gridCol w:w="60"/>
        <w:gridCol w:w="125"/>
        <w:gridCol w:w="845"/>
        <w:gridCol w:w="60"/>
        <w:gridCol w:w="60"/>
        <w:gridCol w:w="166"/>
        <w:gridCol w:w="784"/>
        <w:gridCol w:w="65"/>
        <w:gridCol w:w="60"/>
        <w:gridCol w:w="153"/>
        <w:gridCol w:w="797"/>
        <w:gridCol w:w="80"/>
        <w:gridCol w:w="60"/>
        <w:gridCol w:w="125"/>
        <w:gridCol w:w="845"/>
        <w:gridCol w:w="60"/>
        <w:gridCol w:w="60"/>
        <w:gridCol w:w="140"/>
        <w:gridCol w:w="765"/>
        <w:gridCol w:w="75"/>
      </w:tblGrid>
      <w:tr>
        <w:trPr/>
        <w:tc>
          <w:tcPr>
            <w:tcW w:w="17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Cost or </w:t>
              <w:br/>
              <w:t xml:space="preserve">Amortized </w:t>
              <w:b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Gross </w:t>
              <w:br/>
              <w:t>Unrealized</w:t>
              <w:br/>
              <w:t>Gains</w:t>
            </w:r>
          </w:p>
        </w:tc>
        <w:tc>
          <w:tcPr>
            <w:tcW w:w="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50" w:type="dxa"/>
            <w:gridSpan w:val="2"/>
            <w:tcBorders>
              <w:bottom w:val="single" w:sz="8" w:space="0" w:color="000000"/>
            </w:tcBorders>
            <w:vAlign w:val="center"/>
          </w:tcPr>
          <w:p>
            <w:pPr>
              <w:pStyle w:val="TableContents"/>
              <w:bidi w:val="0"/>
              <w:spacing w:before="0" w:after="283"/>
              <w:jc w:val="center"/>
              <w:rPr>
                <w:b/>
                <w:sz w:val="20"/>
              </w:rPr>
            </w:pPr>
            <w:r>
              <w:rPr>
                <w:b/>
                <w:sz w:val="20"/>
              </w:rPr>
              <w:t>Gross</w:t>
              <w:br/>
              <w:t>Unrealized</w:t>
              <w:br/>
              <w:t>Losses</w:t>
            </w:r>
          </w:p>
        </w:tc>
        <w:tc>
          <w:tcPr>
            <w:tcW w:w="8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283"/>
              <w:jc w:val="center"/>
              <w:rPr>
                <w:b/>
                <w:sz w:val="20"/>
              </w:rPr>
            </w:pPr>
            <w:r>
              <w:rPr>
                <w:b/>
                <w:sz w:val="20"/>
              </w:rPr>
              <w:t>Fair Value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Credit </w:t>
              <w:br/>
              <w:t>Allowance</w:t>
            </w:r>
          </w:p>
        </w:tc>
        <w:tc>
          <w:tcPr>
            <w:tcW w:w="75" w:type="dxa"/>
            <w:tcBorders/>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9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158,978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sz w:val="20"/>
              </w:rPr>
            </w:pPr>
            <w:r>
              <w:rPr>
                <w:sz w:val="20"/>
              </w:rPr>
              <w:t>$</w:t>
            </w:r>
          </w:p>
        </w:tc>
        <w:tc>
          <w:tcPr>
            <w:tcW w:w="797" w:type="dxa"/>
            <w:tcBorders/>
            <w:shd w:fill="FFFFFF" w:val="clear"/>
            <w:tcMar>
              <w:bottom w:w="0" w:type="dxa"/>
            </w:tcMar>
            <w:vAlign w:val="center"/>
          </w:tcPr>
          <w:p>
            <w:pPr>
              <w:pStyle w:val="TableContents"/>
              <w:bidi w:val="0"/>
              <w:spacing w:before="0" w:after="283"/>
              <w:jc w:val="right"/>
              <w:rPr>
                <w:sz w:val="20"/>
              </w:rPr>
            </w:pPr>
            <w:r>
              <w:rPr>
                <w:sz w:val="20"/>
              </w:rPr>
              <w:t>(532</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158,855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2,185</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428,007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908,059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2,840</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894,429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1,133,873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14,377</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1,141,982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36,240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2,689,738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784" w:type="dxa"/>
            <w:tcBorders>
              <w:bottom w:val="double" w:sz="6" w:space="0" w:color="000000"/>
            </w:tcBorders>
            <w:shd w:fill="CCEEFF" w:val="clear"/>
            <w:vAlign w:val="center"/>
          </w:tcPr>
          <w:p>
            <w:pPr>
              <w:pStyle w:val="TableContents"/>
              <w:bidi w:val="0"/>
              <w:spacing w:before="0" w:after="283"/>
              <w:jc w:val="right"/>
              <w:rPr>
                <w:b/>
                <w:sz w:val="20"/>
              </w:rPr>
            </w:pPr>
            <w:r>
              <w:rPr>
                <w:b/>
                <w:sz w:val="20"/>
              </w:rPr>
              <w:t>20,241</w:t>
            </w:r>
          </w:p>
        </w:tc>
        <w:tc>
          <w:tcPr>
            <w:tcW w:w="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797" w:type="dxa"/>
            <w:tcBorders>
              <w:bottom w:val="double" w:sz="6" w:space="0" w:color="000000"/>
            </w:tcBorders>
            <w:shd w:fill="CCEEFF" w:val="clear"/>
            <w:vAlign w:val="center"/>
          </w:tcPr>
          <w:p>
            <w:pPr>
              <w:pStyle w:val="TableContents"/>
              <w:bidi w:val="0"/>
              <w:spacing w:before="0" w:after="283"/>
              <w:jc w:val="right"/>
              <w:rPr>
                <w:b/>
                <w:sz w:val="20"/>
              </w:rPr>
            </w:pPr>
            <w:r>
              <w:rPr>
                <w:b/>
                <w:sz w:val="20"/>
              </w:rPr>
              <w:t>(24,783</w:t>
            </w:r>
          </w:p>
        </w:tc>
        <w:tc>
          <w:tcPr>
            <w:tcW w:w="80" w:type="dxa"/>
            <w:tcBorders/>
            <w:shd w:fill="CCEEFF" w:val="clear"/>
            <w:tcMar>
              <w:bottom w:w="0" w:type="dxa"/>
            </w:tcMar>
            <w:vAlign w:val="center"/>
          </w:tcPr>
          <w:p>
            <w:pPr>
              <w:pStyle w:val="TableContents"/>
              <w:bidi w:val="0"/>
              <w:spacing w:before="0" w:after="283"/>
              <w:jc w:val="left"/>
              <w:rPr>
                <w:b/>
                <w:sz w:val="20"/>
              </w:rPr>
            </w:pPr>
            <w:r>
              <w:rPr>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CCEEFF" w:val="clear"/>
            <w:vAlign w:val="center"/>
          </w:tcPr>
          <w:p>
            <w:pPr>
              <w:pStyle w:val="TableContents"/>
              <w:bidi w:val="0"/>
              <w:spacing w:before="0" w:after="283"/>
              <w:jc w:val="right"/>
              <w:rPr>
                <w:b/>
                <w:sz w:val="20"/>
              </w:rPr>
            </w:pPr>
            <w:r>
              <w:rPr>
                <w:b/>
                <w:sz w:val="20"/>
              </w:rPr>
              <w:t>2,685,196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5" w:type="dxa"/>
            <w:tcBorders>
              <w:bottom w:val="double" w:sz="6" w:space="0" w:color="000000"/>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pPr>
            <w:r>
              <w:rPr/>
              <w:t> </w:t>
            </w:r>
          </w:p>
        </w:tc>
        <w:tc>
          <w:tcPr>
            <w:tcW w:w="784" w:type="dxa"/>
            <w:tcBorders/>
            <w:shd w:fill="FFFFFF" w:val="clear"/>
            <w:tcMar>
              <w:bottom w:w="0" w:type="dxa"/>
            </w:tcMar>
            <w:vAlign w:val="center"/>
          </w:tcPr>
          <w:p>
            <w:pPr>
              <w:pStyle w:val="TableContents"/>
              <w:bidi w:val="0"/>
              <w:spacing w:before="0" w:after="283"/>
              <w:jc w:val="righ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797"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6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bottom w:val="single" w:sz="8" w:space="0" w:color="000000"/>
            </w:tcBorders>
            <w:shd w:fill="FFFFFF" w:val="clear"/>
            <w:vAlign w:val="center"/>
          </w:tcPr>
          <w:p>
            <w:pPr>
              <w:pStyle w:val="TableContents"/>
              <w:bidi w:val="0"/>
              <w:spacing w:before="0" w:after="283"/>
              <w:jc w:val="left"/>
              <w:rPr>
                <w:b/>
                <w:sz w:val="20"/>
              </w:rPr>
            </w:pPr>
            <w:r>
              <w:rPr>
                <w:b/>
                <w:sz w:val="20"/>
              </w:rPr>
              <w:t>December 31,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70"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Cost or </w:t>
              <w:br/>
              <w:t xml:space="preserve">Amortized </w:t>
              <w:br/>
              <w:t>Cost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Gross </w:t>
              <w:br/>
              <w:t>Unrealized</w:t>
              <w:br/>
              <w:t>Gains</w:t>
            </w:r>
          </w:p>
        </w:tc>
        <w:tc>
          <w:tcPr>
            <w:tcW w:w="6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50"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Gross</w:t>
              <w:br/>
              <w:t>Unrealized</w:t>
              <w:br/>
              <w:t>Losses</w:t>
            </w:r>
          </w:p>
        </w:tc>
        <w:tc>
          <w:tcPr>
            <w:tcW w:w="8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70"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Fair Value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905" w:type="dxa"/>
            <w:gridSpan w:val="2"/>
            <w:tcBorders>
              <w:bottom w:val="single" w:sz="8" w:space="0" w:color="000000"/>
            </w:tcBorders>
            <w:shd w:fill="FFFFFF" w:val="clear"/>
            <w:vAlign w:val="center"/>
          </w:tcPr>
          <w:p>
            <w:pPr>
              <w:pStyle w:val="TableContents"/>
              <w:bidi w:val="0"/>
              <w:spacing w:before="0" w:after="283"/>
              <w:jc w:val="center"/>
              <w:rPr>
                <w:b/>
                <w:sz w:val="20"/>
              </w:rPr>
            </w:pPr>
            <w:r>
              <w:rPr>
                <w:b/>
                <w:sz w:val="20"/>
              </w:rPr>
              <w:t xml:space="preserve">Credit </w:t>
              <w:br/>
              <w:t>Allowance</w:t>
            </w:r>
          </w:p>
        </w:tc>
        <w:tc>
          <w:tcPr>
            <w:tcW w:w="75" w:type="dxa"/>
            <w:tcBorders/>
            <w:shd w:fill="FFFFFF" w:val="clear"/>
            <w:tcMar>
              <w:bottom w:w="0" w:type="dxa"/>
            </w:tcMar>
            <w:vAlign w:val="center"/>
          </w:tcPr>
          <w:p>
            <w:pPr>
              <w:pStyle w:val="TableContents"/>
              <w:bidi w:val="0"/>
              <w:spacing w:before="0" w:after="283"/>
              <w:jc w:val="center"/>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shd w:fill="CCEEFF" w:val="clear"/>
            <w:tcMar>
              <w:bottom w:w="0" w:type="dxa"/>
            </w:tcMar>
            <w:vAlign w:val="center"/>
          </w:tcPr>
          <w:p>
            <w:pPr>
              <w:pStyle w:val="TableContents"/>
              <w:bidi w:val="0"/>
              <w:spacing w:before="0" w:after="283"/>
              <w:jc w:val="left"/>
              <w:rPr/>
            </w:pPr>
            <w:r>
              <w:rPr/>
              <w:t> </w:t>
            </w:r>
          </w:p>
        </w:tc>
        <w:tc>
          <w:tcPr>
            <w:tcW w:w="784" w:type="dxa"/>
            <w:tcBorders/>
            <w:shd w:fill="CCEEFF" w:val="clear"/>
            <w:tcMar>
              <w:bottom w:w="0" w:type="dxa"/>
            </w:tcMar>
            <w:vAlign w:val="center"/>
          </w:tcPr>
          <w:p>
            <w:pPr>
              <w:pStyle w:val="TableContents"/>
              <w:bidi w:val="0"/>
              <w:spacing w:before="0" w:after="283"/>
              <w:jc w:val="righ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79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6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162,501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6" w:type="dxa"/>
            <w:tcBorders/>
            <w:shd w:fill="FFFFFF" w:val="clear"/>
            <w:tcMar>
              <w:bottom w:w="0" w:type="dxa"/>
            </w:tcMar>
            <w:vAlign w:val="center"/>
          </w:tcPr>
          <w:p>
            <w:pPr>
              <w:pStyle w:val="TableContents"/>
              <w:bidi w:val="0"/>
              <w:spacing w:before="0" w:after="283"/>
              <w:jc w:val="left"/>
              <w:rPr>
                <w:sz w:val="20"/>
              </w:rPr>
            </w:pPr>
            <w:r>
              <w:rPr>
                <w:sz w:val="20"/>
              </w:rPr>
              <w:t>$</w:t>
            </w:r>
          </w:p>
        </w:tc>
        <w:tc>
          <w:tcPr>
            <w:tcW w:w="784" w:type="dxa"/>
            <w:tcBorders/>
            <w:shd w:fill="FFFFFF" w:val="clear"/>
            <w:tcMar>
              <w:bottom w:w="0" w:type="dxa"/>
            </w:tcMar>
            <w:vAlign w:val="center"/>
          </w:tcPr>
          <w:p>
            <w:pPr>
              <w:pStyle w:val="TableContents"/>
              <w:bidi w:val="0"/>
              <w:spacing w:before="0" w:after="283"/>
              <w:jc w:val="right"/>
              <w:rPr>
                <w:sz w:val="20"/>
              </w:rPr>
            </w:pPr>
            <w:r>
              <w:rPr>
                <w:sz w:val="20"/>
              </w:rPr>
              <w:t>1,279</w:t>
            </w:r>
          </w:p>
        </w:tc>
        <w:tc>
          <w:tcPr>
            <w:tcW w:w="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sz w:val="20"/>
              </w:rPr>
            </w:pPr>
            <w:r>
              <w:rPr>
                <w:sz w:val="20"/>
              </w:rPr>
              <w:t>$</w:t>
            </w:r>
          </w:p>
        </w:tc>
        <w:tc>
          <w:tcPr>
            <w:tcW w:w="797" w:type="dxa"/>
            <w:tcBorders/>
            <w:shd w:fill="FFFFFF" w:val="clear"/>
            <w:tcMar>
              <w:bottom w:w="0" w:type="dxa"/>
            </w:tcMar>
            <w:vAlign w:val="center"/>
          </w:tcPr>
          <w:p>
            <w:pPr>
              <w:pStyle w:val="TableContents"/>
              <w:bidi w:val="0"/>
              <w:spacing w:before="0" w:after="283"/>
              <w:jc w:val="right"/>
              <w:rPr>
                <w:sz w:val="20"/>
              </w:rPr>
            </w:pPr>
            <w:r>
              <w:rPr>
                <w:sz w:val="20"/>
              </w:rPr>
              <w:t>(269</w:t>
            </w:r>
          </w:p>
        </w:tc>
        <w:tc>
          <w:tcPr>
            <w:tcW w:w="80" w:type="dxa"/>
            <w:tcBorders/>
            <w:shd w:fill="FFFFFF" w:val="clear"/>
            <w:tcMar>
              <w:bottom w:w="0" w:type="dxa"/>
            </w:tcMar>
            <w:vAlign w:val="center"/>
          </w:tcPr>
          <w:p>
            <w:pPr>
              <w:pStyle w:val="TableContents"/>
              <w:bidi w:val="0"/>
              <w:spacing w:before="0" w:after="283"/>
              <w:jc w:val="left"/>
              <w:rPr>
                <w:sz w:val="20"/>
              </w:rPr>
            </w:pPr>
            <w:r>
              <w:rPr>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sz w:val="20"/>
              </w:rPr>
            </w:pPr>
            <w:r>
              <w:rPr>
                <w:sz w:val="20"/>
              </w:rPr>
              <w:t>$</w:t>
            </w:r>
          </w:p>
        </w:tc>
        <w:tc>
          <w:tcPr>
            <w:tcW w:w="845" w:type="dxa"/>
            <w:tcBorders/>
            <w:shd w:fill="FFFFFF" w:val="clear"/>
            <w:tcMar>
              <w:bottom w:w="0" w:type="dxa"/>
            </w:tcMar>
            <w:vAlign w:val="center"/>
          </w:tcPr>
          <w:p>
            <w:pPr>
              <w:pStyle w:val="TableContents"/>
              <w:bidi w:val="0"/>
              <w:spacing w:before="0" w:after="283"/>
              <w:jc w:val="right"/>
              <w:rPr>
                <w:sz w:val="20"/>
              </w:rPr>
            </w:pPr>
            <w:r>
              <w:rPr>
                <w:sz w:val="20"/>
              </w:rPr>
              <w:t>163,511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sz w:val="20"/>
              </w:rPr>
            </w:pPr>
            <w:r>
              <w:rPr>
                <w:sz w:val="20"/>
              </w:rPr>
              <w:t>$</w:t>
            </w:r>
          </w:p>
        </w:tc>
        <w:tc>
          <w:tcPr>
            <w:tcW w:w="765" w:type="dxa"/>
            <w:tcBorders/>
            <w:shd w:fill="FFFFFF" w:val="clear"/>
            <w:tcMar>
              <w:bottom w:w="0" w:type="dxa"/>
            </w:tcMar>
            <w:vAlign w:val="center"/>
          </w:tcPr>
          <w:p>
            <w:pPr>
              <w:pStyle w:val="TableContents"/>
              <w:bidi w:val="0"/>
              <w:spacing w:before="0" w:after="283"/>
              <w:jc w:val="right"/>
              <w:rPr>
                <w:sz w:val="20"/>
              </w:rPr>
            </w:pPr>
            <w:r>
              <w:rPr>
                <w:sz w:val="20"/>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423,806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3,988</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788,470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5,707</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1,121,579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27,093</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8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4"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w:t>
            </w:r>
          </w:p>
        </w:tc>
        <w:tc>
          <w:tcPr>
            <w:tcW w:w="6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2,587,814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6"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784" w:type="dxa"/>
            <w:tcBorders>
              <w:bottom w:val="double" w:sz="6" w:space="0" w:color="000000"/>
            </w:tcBorders>
            <w:shd w:fill="CCEEFF" w:val="clear"/>
            <w:vAlign w:val="center"/>
          </w:tcPr>
          <w:p>
            <w:pPr>
              <w:pStyle w:val="TableContents"/>
              <w:bidi w:val="0"/>
              <w:spacing w:before="0" w:after="283"/>
              <w:jc w:val="right"/>
              <w:rPr>
                <w:b/>
                <w:sz w:val="20"/>
              </w:rPr>
            </w:pPr>
            <w:r>
              <w:rPr>
                <w:b/>
                <w:sz w:val="20"/>
              </w:rPr>
              <w:t>38,738</w:t>
            </w:r>
          </w:p>
        </w:tc>
        <w:tc>
          <w:tcPr>
            <w:tcW w:w="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797" w:type="dxa"/>
            <w:tcBorders>
              <w:bottom w:val="double" w:sz="6" w:space="0" w:color="000000"/>
            </w:tcBorders>
            <w:shd w:fill="CCEEFF" w:val="clear"/>
            <w:vAlign w:val="center"/>
          </w:tcPr>
          <w:p>
            <w:pPr>
              <w:pStyle w:val="TableContents"/>
              <w:bidi w:val="0"/>
              <w:spacing w:before="0" w:after="283"/>
              <w:jc w:val="right"/>
              <w:rPr>
                <w:b/>
                <w:sz w:val="20"/>
              </w:rPr>
            </w:pPr>
            <w:r>
              <w:rPr>
                <w:b/>
                <w:sz w:val="20"/>
              </w:rPr>
              <w:t>(15,953</w:t>
            </w:r>
          </w:p>
        </w:tc>
        <w:tc>
          <w:tcPr>
            <w:tcW w:w="80" w:type="dxa"/>
            <w:tcBorders/>
            <w:shd w:fill="CCEEFF" w:val="clear"/>
            <w:tcMar>
              <w:bottom w:w="0" w:type="dxa"/>
            </w:tcMar>
            <w:vAlign w:val="center"/>
          </w:tcPr>
          <w:p>
            <w:pPr>
              <w:pStyle w:val="TableContents"/>
              <w:bidi w:val="0"/>
              <w:spacing w:before="0" w:after="283"/>
              <w:jc w:val="left"/>
              <w:rPr>
                <w:b/>
                <w:sz w:val="20"/>
              </w:rPr>
            </w:pPr>
            <w:r>
              <w:rPr>
                <w:b/>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845" w:type="dxa"/>
            <w:tcBorders>
              <w:bottom w:val="double" w:sz="6" w:space="0" w:color="000000"/>
            </w:tcBorders>
            <w:shd w:fill="CCEEFF" w:val="clear"/>
            <w:vAlign w:val="center"/>
          </w:tcPr>
          <w:p>
            <w:pPr>
              <w:pStyle w:val="TableContents"/>
              <w:bidi w:val="0"/>
              <w:spacing w:before="0" w:after="283"/>
              <w:jc w:val="right"/>
              <w:rPr>
                <w:b/>
                <w:sz w:val="20"/>
              </w:rPr>
            </w:pPr>
            <w:r>
              <w:rPr>
                <w:b/>
                <w:sz w:val="20"/>
              </w:rPr>
              <w:t>2,610,599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b/>
                <w:sz w:val="20"/>
              </w:rPr>
            </w:pPr>
            <w:r>
              <w:rPr>
                <w:b/>
                <w:sz w:val="20"/>
              </w:rPr>
              <w:t>$</w:t>
            </w:r>
          </w:p>
        </w:tc>
        <w:tc>
          <w:tcPr>
            <w:tcW w:w="765" w:type="dxa"/>
            <w:tcBorders>
              <w:bottom w:val="double" w:sz="6" w:space="0" w:color="000000"/>
            </w:tcBorders>
            <w:shd w:fill="CCEEFF" w:val="clear"/>
            <w:vAlign w:val="center"/>
          </w:tcPr>
          <w:p>
            <w:pPr>
              <w:pStyle w:val="TableContents"/>
              <w:bidi w:val="0"/>
              <w:spacing w:before="0" w:after="283"/>
              <w:jc w:val="right"/>
              <w:rPr>
                <w:b/>
                <w:sz w:val="20"/>
              </w:rPr>
            </w:pPr>
            <w:r>
              <w:rPr>
                <w:b/>
                <w:sz w:val="20"/>
              </w:rPr>
              <w:t>-</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or amortized cost and estimated fair values of AFS fixed maturity securities, by remaining maturity are presented below. Expected maturities could differ from contractual maturities because borrowers may have the right to call or prepay obligations with or without call or prepayment penalties.</w:t>
      </w:r>
    </w:p>
    <w:p>
      <w:pPr>
        <w:pStyle w:val="TextBody"/>
        <w:bidi w:val="0"/>
        <w:spacing w:before="0" w:after="0"/>
        <w:ind w:left="0" w:right="0" w:hanging="0"/>
        <w:jc w:val="left"/>
        <w:rPr>
          <w:caps w:val="false"/>
          <w:smallCaps w:val="false"/>
        </w:rPr>
      </w:pPr>
      <w:r>
        <w:rPr>
          <w:caps w:val="false"/>
          <w:smallCaps w:val="false"/>
        </w:rPr>
        <w:t> </w:t>
      </w:r>
    </w:p>
    <w:tbl>
      <w:tblPr>
        <w:tblW w:w="5614" w:type="dxa"/>
        <w:jc w:val="left"/>
        <w:tblInd w:w="0" w:type="dxa"/>
        <w:tblLayout w:type="fixed"/>
        <w:tblCellMar>
          <w:top w:w="0" w:type="dxa"/>
          <w:left w:w="0" w:type="dxa"/>
          <w:bottom w:w="28" w:type="dxa"/>
          <w:right w:w="0" w:type="dxa"/>
        </w:tblCellMar>
      </w:tblPr>
      <w:tblGrid>
        <w:gridCol w:w="3050"/>
        <w:gridCol w:w="60"/>
        <w:gridCol w:w="172"/>
        <w:gridCol w:w="1167"/>
        <w:gridCol w:w="60"/>
        <w:gridCol w:w="60"/>
        <w:gridCol w:w="125"/>
        <w:gridCol w:w="845"/>
        <w:gridCol w:w="75"/>
      </w:tblGrid>
      <w:tr>
        <w:trPr/>
        <w:tc>
          <w:tcPr>
            <w:tcW w:w="305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tcMar>
              <w:bottom w:w="0" w:type="dxa"/>
            </w:tcMar>
            <w:vAlign w:val="center"/>
          </w:tcPr>
          <w:p>
            <w:pPr>
              <w:pStyle w:val="TableContents"/>
              <w:bidi w:val="0"/>
              <w:spacing w:before="0" w:after="283"/>
              <w:jc w:val="left"/>
              <w:rPr/>
            </w:pPr>
            <w:r>
              <w:rPr/>
              <w:t> </w:t>
            </w:r>
          </w:p>
        </w:tc>
        <w:tc>
          <w:tcPr>
            <w:tcW w:w="1339" w:type="dxa"/>
            <w:gridSpan w:val="2"/>
            <w:tcBorders>
              <w:bottom w:val="single" w:sz="8" w:space="0" w:color="000000"/>
            </w:tcBorders>
            <w:vAlign w:val="center"/>
          </w:tcPr>
          <w:p>
            <w:pPr>
              <w:pStyle w:val="TableContents"/>
              <w:bidi w:val="0"/>
              <w:spacing w:before="0" w:after="283"/>
              <w:jc w:val="center"/>
              <w:rPr>
                <w:b/>
                <w:sz w:val="20"/>
              </w:rPr>
            </w:pPr>
            <w:r>
              <w:rPr>
                <w:b/>
                <w:sz w:val="20"/>
              </w:rPr>
              <w:t>Cost or</w:t>
              <w:br/>
              <w:t>Amortized 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2" w:type="dxa"/>
            <w:tcBorders/>
            <w:shd w:fill="CCEEFF" w:val="clear"/>
            <w:tcMar>
              <w:bottom w:w="0" w:type="dxa"/>
            </w:tcMar>
            <w:vAlign w:val="center"/>
          </w:tcPr>
          <w:p>
            <w:pPr>
              <w:pStyle w:val="TableContents"/>
              <w:bidi w:val="0"/>
              <w:spacing w:before="0" w:after="283"/>
              <w:jc w:val="left"/>
              <w:rPr/>
            </w:pPr>
            <w:r>
              <w:rPr/>
              <w:t> </w:t>
            </w:r>
          </w:p>
        </w:tc>
        <w:tc>
          <w:tcPr>
            <w:tcW w:w="116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in one year or less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151,971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151,514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one year through five years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658,654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661,931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five years through ten years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498,351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504,414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after ten years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46,187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44,901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1,355,163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1,362,760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426,516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428,007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 securities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908,059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67"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2,689,738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2,685,196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fair value and unrealized losses of the Company’s AFS fixed maturity securities, aggregated by investment category and length of time that individual securities were in a continuous unrealized loss position, for which no valuation allowance for expected credit loss has been recorded, as of the dates indicated:</w:t>
      </w:r>
    </w:p>
    <w:p>
      <w:pPr>
        <w:pStyle w:val="TextBody"/>
        <w:bidi w:val="0"/>
        <w:spacing w:before="0" w:after="0"/>
        <w:ind w:left="0" w:right="0" w:hanging="0"/>
        <w:jc w:val="left"/>
        <w:rPr>
          <w:caps w:val="false"/>
          <w:smallCaps w:val="false"/>
        </w:rPr>
      </w:pPr>
      <w:r>
        <w:rPr>
          <w:caps w:val="false"/>
          <w:smallCaps w:val="false"/>
        </w:rPr>
        <w:t> </w:t>
      </w:r>
    </w:p>
    <w:tbl>
      <w:tblPr>
        <w:tblW w:w="8405" w:type="dxa"/>
        <w:jc w:val="left"/>
        <w:tblInd w:w="0" w:type="dxa"/>
        <w:tblLayout w:type="fixed"/>
        <w:tblCellMar>
          <w:top w:w="0" w:type="dxa"/>
          <w:left w:w="0" w:type="dxa"/>
          <w:bottom w:w="0" w:type="dxa"/>
          <w:right w:w="0" w:type="dxa"/>
        </w:tblCellMar>
      </w:tblPr>
      <w:tblGrid>
        <w:gridCol w:w="1790"/>
        <w:gridCol w:w="60"/>
        <w:gridCol w:w="142"/>
        <w:gridCol w:w="792"/>
        <w:gridCol w:w="60"/>
        <w:gridCol w:w="60"/>
        <w:gridCol w:w="160"/>
        <w:gridCol w:w="834"/>
        <w:gridCol w:w="80"/>
        <w:gridCol w:w="60"/>
        <w:gridCol w:w="142"/>
        <w:gridCol w:w="792"/>
        <w:gridCol w:w="60"/>
        <w:gridCol w:w="60"/>
        <w:gridCol w:w="160"/>
        <w:gridCol w:w="834"/>
        <w:gridCol w:w="80"/>
        <w:gridCol w:w="60"/>
        <w:gridCol w:w="125"/>
        <w:gridCol w:w="845"/>
        <w:gridCol w:w="60"/>
        <w:gridCol w:w="60"/>
        <w:gridCol w:w="160"/>
        <w:gridCol w:w="834"/>
        <w:gridCol w:w="95"/>
      </w:tblGrid>
      <w:tr>
        <w:trPr/>
        <w:tc>
          <w:tcPr>
            <w:tcW w:w="17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12 months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Months or More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8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34"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0"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88,740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14,599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133,611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541,410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646,989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263,012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62,291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997,436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(12,241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222,346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(12,542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1,219,782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(24,783</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4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Less than 12 months</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48"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Months or More</w:t>
            </w:r>
          </w:p>
        </w:tc>
        <w:tc>
          <w:tcPr>
            <w:tcW w:w="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2084" w:type="dxa"/>
            <w:gridSpan w:val="6"/>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5" w:type="dxa"/>
            <w:tcBorders/>
            <w:shd w:fill="FFFFFF" w:val="clear"/>
            <w:vAlign w:val="center"/>
          </w:tcPr>
          <w:p>
            <w:pPr>
              <w:pStyle w:val="TableContents"/>
              <w:bidi w:val="0"/>
              <w:spacing w:before="0" w:after="283"/>
              <w:jc w:val="center"/>
              <w:rPr/>
            </w:pPr>
            <w:r>
              <w:rPr/>
              <w:t> </w:t>
            </w:r>
          </w:p>
        </w:tc>
      </w:tr>
      <w:tr>
        <w:trPr/>
        <w:tc>
          <w:tcPr>
            <w:tcW w:w="1790"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3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994"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Unrealized </w:t>
              <w:br/>
              <w:t>Losses</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15,596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80,427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83,471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228,833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339,354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(11,280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1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408,999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264,358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(12,808</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673,357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(15,953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gross unrealized losses represented approximately 2.0% and 2.4% of the aggregate fair value of the related securities as of March 31, 2026, and December 31, 2025, respectively. The total gross unrealized losses are comprised of 701 and 448 individual securities as of March 31, 2026, and December 31, 2025, respectively. The Company concluded that for these securities, the gross unrealized losses during the three months ended March 31, 2026, and March 31, 2025, were related to noncredit factors and therefore, did not recognize any credit-related losses during the related periods. Additionally, the Company currently does not intend to and is not required to sell these investments prior to an anticipated recovery in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gross realized gains and gross realized losses from sales of our AFS fixed maturity securities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2555"/>
        <w:gridCol w:w="60"/>
        <w:gridCol w:w="414"/>
        <w:gridCol w:w="1315"/>
        <w:gridCol w:w="80"/>
        <w:gridCol w:w="60"/>
        <w:gridCol w:w="414"/>
        <w:gridCol w:w="1315"/>
        <w:gridCol w:w="95"/>
      </w:tblGrid>
      <w:tr>
        <w:trPr/>
        <w:tc>
          <w:tcPr>
            <w:tcW w:w="25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2025</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realized gains from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5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realized losses from sales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unrealized gains (losses) for the Company’s AFS fixed maturity securities, net of tax, as the date indicated:</w:t>
      </w:r>
    </w:p>
    <w:p>
      <w:pPr>
        <w:pStyle w:val="TextBody"/>
        <w:bidi w:val="0"/>
        <w:spacing w:before="0" w:after="0"/>
        <w:ind w:left="0" w:right="0" w:hanging="0"/>
        <w:jc w:val="left"/>
        <w:rPr>
          <w:caps w:val="false"/>
          <w:smallCaps w:val="false"/>
        </w:rPr>
      </w:pPr>
      <w:r>
        <w:rPr>
          <w:caps w:val="false"/>
          <w:smallCaps w:val="false"/>
        </w:rPr>
        <w:t> </w:t>
      </w:r>
    </w:p>
    <w:tbl>
      <w:tblPr>
        <w:tblW w:w="6353" w:type="dxa"/>
        <w:jc w:val="left"/>
        <w:tblInd w:w="0" w:type="dxa"/>
        <w:tblLayout w:type="fixed"/>
        <w:tblCellMar>
          <w:top w:w="0" w:type="dxa"/>
          <w:left w:w="0" w:type="dxa"/>
          <w:bottom w:w="0" w:type="dxa"/>
          <w:right w:w="0" w:type="dxa"/>
        </w:tblCellMar>
      </w:tblPr>
      <w:tblGrid>
        <w:gridCol w:w="2600"/>
        <w:gridCol w:w="60"/>
        <w:gridCol w:w="322"/>
        <w:gridCol w:w="1407"/>
        <w:gridCol w:w="80"/>
        <w:gridCol w:w="60"/>
        <w:gridCol w:w="322"/>
        <w:gridCol w:w="1407"/>
        <w:gridCol w:w="95"/>
      </w:tblGrid>
      <w:tr>
        <w:trPr/>
        <w:tc>
          <w:tcPr>
            <w:tcW w:w="260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29" w:type="dxa"/>
            <w:gridSpan w:val="2"/>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2025</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losses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6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unrealized losses, after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(7,823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2"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(5,931</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Investment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net investment income are as follows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6998" w:type="dxa"/>
        <w:jc w:val="left"/>
        <w:tblInd w:w="0" w:type="dxa"/>
        <w:tblLayout w:type="fixed"/>
        <w:tblCellMar>
          <w:top w:w="0" w:type="dxa"/>
          <w:left w:w="0" w:type="dxa"/>
          <w:bottom w:w="0" w:type="dxa"/>
          <w:right w:w="0" w:type="dxa"/>
        </w:tblCellMar>
      </w:tblPr>
      <w:tblGrid>
        <w:gridCol w:w="3155"/>
        <w:gridCol w:w="60"/>
        <w:gridCol w:w="309"/>
        <w:gridCol w:w="1465"/>
        <w:gridCol w:w="80"/>
        <w:gridCol w:w="60"/>
        <w:gridCol w:w="309"/>
        <w:gridCol w:w="1465"/>
        <w:gridCol w:w="9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br/>
              <w:t>March 31, 2025</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146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AFS</w:t>
              <w:tab/>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sz w:val="20"/>
              </w:rPr>
            </w:pPr>
            <w:r>
              <w:rPr>
                <w:sz w:val="20"/>
              </w:rPr>
              <w:t>$</w:t>
            </w:r>
          </w:p>
        </w:tc>
        <w:tc>
          <w:tcPr>
            <w:tcW w:w="1465" w:type="dxa"/>
            <w:tcBorders/>
            <w:shd w:fill="FFFFFF" w:val="clear"/>
            <w:vAlign w:val="center"/>
          </w:tcPr>
          <w:p>
            <w:pPr>
              <w:pStyle w:val="TableContents"/>
              <w:bidi w:val="0"/>
              <w:spacing w:before="0" w:after="283"/>
              <w:jc w:val="right"/>
              <w:rPr>
                <w:sz w:val="20"/>
              </w:rPr>
            </w:pPr>
            <w:r>
              <w:rPr>
                <w:sz w:val="20"/>
              </w:rPr>
              <w:t>31,487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jc w:val="left"/>
              <w:rPr>
                <w:sz w:val="20"/>
              </w:rPr>
            </w:pPr>
            <w:r>
              <w:rPr>
                <w:sz w:val="20"/>
              </w:rPr>
              <w:t>$</w:t>
            </w:r>
          </w:p>
        </w:tc>
        <w:tc>
          <w:tcPr>
            <w:tcW w:w="1465" w:type="dxa"/>
            <w:tcBorders/>
            <w:shd w:fill="FFFFFF" w:val="clear"/>
            <w:vAlign w:val="center"/>
          </w:tcPr>
          <w:p>
            <w:pPr>
              <w:pStyle w:val="TableContents"/>
              <w:bidi w:val="0"/>
              <w:spacing w:before="0" w:after="283"/>
              <w:jc w:val="right"/>
              <w:rPr>
                <w:sz w:val="20"/>
              </w:rPr>
            </w:pPr>
            <w:r>
              <w:rPr>
                <w:sz w:val="20"/>
              </w:rPr>
              <w:t>22,923</w:t>
            </w:r>
          </w:p>
        </w:tc>
        <w:tc>
          <w:tcPr>
            <w:tcW w:w="95" w:type="dxa"/>
            <w:tcBorders/>
            <w:shd w:fill="FFFFFF" w:val="clear"/>
            <w:vAlign w:val="center"/>
          </w:tcPr>
          <w:p>
            <w:pPr>
              <w:pStyle w:val="TableContents"/>
              <w:bidi w:val="0"/>
              <w:spacing w:before="0" w:after="283"/>
              <w:jc w:val="left"/>
              <w:rPr/>
            </w:pPr>
            <w:r>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 HTM</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 cash and other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34,807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6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1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investment income</w:t>
              <w:tab/>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6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34,215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9" w:type="dxa"/>
            <w:tcBorders>
              <w:bottom w:val="double" w:sz="6" w:space="0" w:color="000000"/>
            </w:tcBorders>
            <w:shd w:fill="CCEEFF" w:val="clear"/>
            <w:tcMar>
              <w:bottom w:w="28" w:type="dxa"/>
            </w:tcMar>
            <w:vAlign w:val="center"/>
          </w:tcPr>
          <w:p>
            <w:pPr>
              <w:pStyle w:val="TableContents"/>
              <w:bidi w:val="0"/>
              <w:spacing w:before="0" w:after="283"/>
              <w:jc w:val="left"/>
              <w:rPr>
                <w:b/>
                <w:sz w:val="20"/>
              </w:rPr>
            </w:pPr>
            <w:r>
              <w:rPr>
                <w:b/>
                <w:sz w:val="20"/>
              </w:rPr>
              <w:t>$</w:t>
            </w:r>
          </w:p>
        </w:tc>
        <w:tc>
          <w:tcPr>
            <w:tcW w:w="146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26,008</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Pledged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had restricted assets comprised of cash and cash equivalents and fixed maturity investments of $334.1 million and $345.5 million, respectively, that were pledged during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upon the sale of an asset or paid to transfer a liability in an orderly transaction between open market participants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FASB ASC Topic “Fair Value Measurements and Disclosures” prescribes a fair value hierarchy that prioritizes the inputs to the respective valuation techniques used to measure fair value. The hierarchy gives the highest priority to unadjusted quoted prices in active markets for identical assets or liabilities (Level 1) and the lowest priority to valuation techniques that use at least one significant input that is unobservable (Level 3). The three levels of the fair value hierarchy are described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values determined by Level 1 inputs utilize unadjusted quoted prices obtained from active markets for identical assets or liabilities for which the Company has access at the measurement date. The fair value is determined by multiplying the quoted price by the quantity held by the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values determined by Level 2 inputs utilize attributes (other than quoted prices included in Level 1) that are observable for the asset or liability, either directly or indirectly. Level 2 inputs include quoted prices for similar assets and liabilities in active markets, and inputs other than quoted prices that are observable for the asset or liability, such as interest rates and yield curves that are observable at commonly quoted intervals, broker quotes and certain pricing indices;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Level 3 inputs are based all or in part on significant unobservable attributes for the asset or liability, and include situations where there is little, if any, market activity for the asset or liability. In these cases, significant management assumptions are used to establish management’s best estimate of the assumptions used by other market participants in determining the fair value of the asset or liability.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of the asset. The Company’s assessment of the significance of a particular input to the fair value measurement in its entirety requires judgment, and the Company considers factors specific to the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determine if a market is active or inactive for a security, a number of factors are considered, including, but not limited to, the spread between what a seller is asking for a security and what a buyer is bidding for the same security, the volume of trading activity for the security in question, the price of the security compared to its par value (for fixed maturity investments), and other factors that may be indicative of market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in the valuation techniques, nor have there been any transfers into or out of Level 3 during the years presented in these unaudited interim consolidated financial statements. Below is a summary of the assets that are measured at fair value on a recurring basis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045"/>
        <w:gridCol w:w="60"/>
        <w:gridCol w:w="125"/>
        <w:gridCol w:w="650"/>
        <w:gridCol w:w="60"/>
        <w:gridCol w:w="60"/>
        <w:gridCol w:w="125"/>
        <w:gridCol w:w="845"/>
        <w:gridCol w:w="60"/>
        <w:gridCol w:w="60"/>
        <w:gridCol w:w="125"/>
        <w:gridCol w:w="650"/>
        <w:gridCol w:w="60"/>
        <w:gridCol w:w="60"/>
        <w:gridCol w:w="125"/>
        <w:gridCol w:w="845"/>
        <w:gridCol w:w="75"/>
      </w:tblGrid>
      <w:tr>
        <w:trPr/>
        <w:tc>
          <w:tcPr>
            <w:tcW w:w="204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7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158,855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428,007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428,007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24,567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894,429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1,141,982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1,141,982</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36,490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2,734,725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2,734,725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5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Government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163,511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427,351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Agencies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Mortgage-Backed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782,897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782,897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Corporate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1,145,710</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Governments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871</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Municipalities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42,533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term investments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0"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44,738</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045"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2,655,337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50"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2,655,337</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 and 3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no Level 1 or 3 securities as of March 31,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values Level 2 securities using various observable market inputs obtained from a pricing service. The pricing service prepares estimates of fair value measurements for the Company’s Level 2 securities using proprietary valuation models based on techniques such as matrix pricing which include observable market inputs. The fair value measurements and disclosures guidance defines observable market inputs as the assumptions market participants would use in pricing the asset or liability developed on market data obtained from sources independent of the Company. The extent of the use of each observable market input for a security depends on the type of security and the market conditions at the balance sheet date. Depending on the security, the priority of the use of observable market inputs may change as some observable market inputs may not be relevant or additional inputs may be necessary. The Company uses the following observable market inputs (“standard inputs”), listed in the approximate order of priority, in the pricing evaluation of Level 2 securities: benchmark yields, reported trades, broker/dealer quotes, issuer spreads, two-sided markets, benchmark securities, bids, offers and reference data including market research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describes the significant inputs generally used to determine the fair value of the Company’s fixed maturity securities by asset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 government and government agency securities</w:t>
      </w:r>
      <w:r>
        <w:rPr>
          <w:rFonts w:ascii="Times New Roman;Times;Serif" w:hAnsi="Times New Roman;Times;Serif"/>
          <w:b w:val="false"/>
          <w:i w:val="false"/>
          <w:caps w:val="false"/>
          <w:smallCaps w:val="false"/>
          <w:sz w:val="20"/>
        </w:rPr>
        <w:t xml:space="preserve"> – U.S. government and government agencies and authorities’ securities are priced by the Company’s independent pricing service utilizing standard inputs.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Asset-backed securities</w:t>
      </w:r>
      <w:r>
        <w:rPr>
          <w:rFonts w:ascii="Times New Roman;Times;Serif" w:hAnsi="Times New Roman;Times;Serif"/>
          <w:b w:val="false"/>
          <w:i w:val="false"/>
          <w:caps w:val="false"/>
          <w:smallCaps w:val="false"/>
          <w:sz w:val="20"/>
        </w:rPr>
        <w:t xml:space="preserve"> – valuations provided by independent pricing services, substantially all through index providers and pricing vendors with an immaterial amount through broker-dealers. The fair values of these securities are generally determined through the use of pricing models which use spreads to determine the appropriate average life of the securities. These spreads are generally obtained from the new issue market, secondary trading and from broker-dealers who trade in the relevant security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 Corporate securities</w:t>
      </w:r>
      <w:r>
        <w:rPr>
          <w:rFonts w:ascii="Times New Roman;Times;Serif" w:hAnsi="Times New Roman;Times;Serif"/>
          <w:b w:val="false"/>
          <w:i w:val="false"/>
          <w:caps w:val="false"/>
          <w:smallCaps w:val="false"/>
          <w:sz w:val="20"/>
        </w:rPr>
        <w:t xml:space="preserve"> – valuations provided by independent pricing services, substantially all through index providers and pricing vendors with an immaterial amount through broker-dealers. The fair values of these securities are generally determined using the spread above the risk-free yield curve. These spreads are generally obtained from the new issue market, secondary trading and from broker-dealers who trade in the relevant security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Foreign government securities</w:t>
      </w:r>
      <w:r>
        <w:rPr>
          <w:rFonts w:ascii="Times New Roman;Times;Serif" w:hAnsi="Times New Roman;Times;Serif"/>
          <w:b w:val="false"/>
          <w:i w:val="false"/>
          <w:caps w:val="false"/>
          <w:smallCaps w:val="false"/>
          <w:sz w:val="20"/>
        </w:rPr>
        <w:t xml:space="preserve"> – valuations provided by independent pricing services, with all prices provided through index providers and pricing vendors. The fair values of these securities are generally based on international indices or valuation models which include daily observed yield curves, cross-currency basis index spreads and country credit spreads.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Municipal securities</w:t>
      </w:r>
      <w:r>
        <w:rPr>
          <w:rFonts w:ascii="Times New Roman;Times;Serif" w:hAnsi="Times New Roman;Times;Serif"/>
          <w:b w:val="false"/>
          <w:i w:val="false"/>
          <w:caps w:val="false"/>
          <w:smallCaps w:val="false"/>
          <w:sz w:val="20"/>
        </w:rPr>
        <w:t xml:space="preserve"> – valuations provided by independent pricing services, with all prices provided through index providers and pricing vendors. The fair values of these securities are generally determined using spreads obtained from broker dealers who trade in the relevant security market, trade prices and the new issue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Short-term investments</w:t>
      </w:r>
      <w:r>
        <w:rPr>
          <w:rFonts w:ascii="Times New Roman;Times;Serif" w:hAnsi="Times New Roman;Times;Serif"/>
          <w:b w:val="false"/>
          <w:i w:val="false"/>
          <w:caps w:val="false"/>
          <w:smallCaps w:val="false"/>
          <w:sz w:val="20"/>
        </w:rPr>
        <w:t xml:space="preserve"> - valuations provided by independent pricing services, generally determined using the spread above the risk-free yield curve.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models used by independent pricing services can change from period to period, depending on the appropriate observable inputs that are available at the balance sheet date to price a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Instruments Disclosed, But Not Carried, at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various financial instruments in the normal course of its business. The Company’s (re)insurance contracts are excluded from the fair value of financial instruments accounting guidance, unless the Company elects the fair value option. The carrying values of cash and cash equivalents, accrued investment income, certain other assets, certain other liabilities, and other financial instruments approximated their fair values. The fair value of the fixed maturity security HTM was $9.5 million, as of December 31, 2025. The fair value was based on an internal model that incorporates maturity date (expected in 2028), scheduled interest payments and a net present value factor, and is considered a Level 3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on a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assets on a non-recurring basis, generally quarterly, annually or when events or changes in circumstances indicate that the carrying amount of the assets may not be recoverable. These assets include certain fixed assets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Variable Interest Entities and Noncontrolling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AdVantage Reinsurance Bermuda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December 14, 2020, AdVantage Reinsurance Bermuda Ltd. (f/k/a AdVantage Retro I Ltd.) (“AdVantage”) was incorporated under the laws of Bermuda and is a registered Collateralized Insurer and Segregated Accounts Company. AdVantage operates utilizing segregated accounts to maintain separation of investor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is considered a VIE because it has equity at risk with non-substantive voting rights.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AV0002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and December 31, 2025, the Company held a 50% participating, non-voting interest in a segregated account (“AV0002”). As of March 31, 2026, and December 31, 2025, the Company is the primary beneficiary of AV0002, and it has power over the activities that most significantly impact the economic performance of the account. As a result, the Company consolidates AV0002, and all intercompany transactions have been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Company’s consolidated balance sheet included total assets and liabilities attributable to AV0002 of $30.2 million (including $23.9 million of cash and cash equivalents) and $13.5 million respectively. As of December 31, 2025, the Company’s consolidated balance sheet included total assets and liabilities attributable to AV0002 of $30.2 million (including $23.7 million of cash and cash equivalents) and $13.7 million, respectively. The results of AV0002 are recorded a quarter in arrears due to the availability of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portion of AV0002 equity attributable to third party investors in the shareholders’ equity section of its consolidated balance sheets as noncontrolling interest. The noncontrolling ownership in AV0002 preference shares was approximately 50% at March 31, 2026 and December 31, 2025. The portion of AV0002 income attributable to third party investors is recorded in the consolidated statements of operations in net income attributable to noncontrolling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AV0004, AV0005 and AV0006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AdVantage formed segregated accounts AV0004 (“AV0004”), AV0005 (“AV0005”), and AV0006 (“AV0006” and each of AV0004, AV0005, and AV0006, a “Segregated Account”) in connection with third-party investors on November 15, 2023, November 1, 2024, &amp; October 30, 2025 respectively. Pursuant to separate Reinsurance Services Agreements among an applicable Segregated Account, AdVantage, VRL and AdVantage Capital Advisors Ltd., a registered and licensed insurance agent in Bermuda (“ACA”), VRL (in the case of AV0004 only) and ACA sourced risk on behalf of such Segregated Account, to match the risk and return appetite of the applicable third-party investors. As of March 31, 2026, separate quota share arrangements between each Segregated Account and VRL represented a variable interest of the Company in AV0004, AV0005, and AV0006; however, the Company is not the primary beneficiary of AV0004, AV0005 or AV0006, so they are not consolidated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three revenue components for the Company associated with AV0004, AV0005, and AV0006: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AV0004, AV0005, AV0006 cede to VRL, and VRL assumes from them a 2.2% quota share of AV0004, AV0005and AV0006’s liabilities and premiums under each reinsurance agreement entered into by AV0004, AV0005, and AV0006 that is sourced by VRL or ACA pursuant to the applicable Reinsurance Services Agreement, subject to a cap.</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VRL and ACA provide certain underwriting and related services to AV0004 and ACA provides certain underwriting services to AV0005 and AV0006, and each Segregated Account pays VRL and/or ACA, as applicable, a fixed quarterly fee based on such Segregated Account’s share capital and reinsurance capital deployed.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AV0004, AV0005, and AV0006 may also pay VRL and/or ACA, as applicable, a variable fee based on their performance calculated one month following the earlier of (i) the end of the last-expiring risk period under all relevant reinsurance agreements and (ii) commutation of all relevant reinsurance agreements. This variable fee will be trued up every three months thereafter until final amounts are known.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2.2% quota share contracts are recorded as assumed premiums and recognized ratably over the term of the underlying reinsurance agreements. The quarterly fees for services provided to AV0004, AV0005, and AV0006 are recognized over time in the period the relevant services are provided on a proportional basis that corresponds to the time elapsed on the applicable underlying reinsurance contract term. The variable fee was considered fully constrained and thus the transaction price at inception was zero. Management revisited this estimate at the reporting date and accrued for fees likely to be achievable.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net earned premiums include $1.6 million for AV0005 and $1.3 million for AV0006 related to the 2.2% quota share agreements. For the three months ended March 31, 2026, fee and other income (losses) includes $9.2 million for AV0005 and $6.8 million for AV0006 related to fixed and variable fees. For the three months ended March 31, 2025, net earned premiums include $1.6 million for AV0004 and $1.5 million for AV0005 related to the 2.2% quota share agreements. For the three months ended March 31, 2025, fee and other income (losses) includes $(15.3) million for AV0004 and $2.8 million for AV0005 related to fixed and variable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AdVantage is an independent company, the assets of AdVantage can be used only to settle obligations of AdVantage and AdVantage is solely responsible for its own liabilities and commitments. The Company’s financial exposure to AdVantage is limited to its investment in AdVantage’s preference shares, VRL’s participation on a stop-loss reinsurance arrangement provided to AV0002, VRL’s quota share arrangements provided to AV0004, AV0005 and AV0006, and counterparty credit risk (mitigated by collateral) arising from certain reinsurance cessions from VRL to AV0002. The Company has not provided any financial or other support to AdVantage that it is not contractually required to provide.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Reserves for claims and claim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the most significant accounting judgment made by management is its estimate of claims and claim expense reserves. Claims and claim expense reserves comprise case and IBNR reserves.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claims and claim expense reserves are estimates, the Company’s actual losses incurred may be more or less than the Company’s previously developed estimates, which is referred to as either unfavorable or favorable development,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reconciliation of claims and claim expense reserves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0"/>
        <w:gridCol w:w="60"/>
        <w:gridCol w:w="168"/>
        <w:gridCol w:w="1141"/>
        <w:gridCol w:w="80"/>
        <w:gridCol w:w="60"/>
        <w:gridCol w:w="168"/>
        <w:gridCol w:w="1141"/>
        <w:gridCol w:w="77"/>
      </w:tblGrid>
      <w:tr>
        <w:trPr/>
        <w:tc>
          <w:tcPr>
            <w:tcW w:w="73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br/>
              <w:t>March 31, 2026</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br/>
              <w:t xml:space="preserve">ended </w:t>
              <w:br/>
              <w:t>March 31, 2025</w:t>
            </w:r>
          </w:p>
        </w:tc>
        <w:tc>
          <w:tcPr>
            <w:tcW w:w="77"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 for claims and claim expenses, as of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1,942,748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1,423,343</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as of beginning of period</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518,051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378,655</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net of reinsurance recoverable, as of beginning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1,424,697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1,044,688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incurred during the year related to:</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163,993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153,044</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3,627</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losses incurred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163,845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156,671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losses paid during the year related to:</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7,048</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period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73,384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43,781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net losses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77,228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50,829</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exchange (gains) losses</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3,001</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net of reinsurance recoverable, as of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1,508,686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1,153,531</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as of end of period</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552,551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405,794</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Reserve for claims and claim expenses, as of end of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2,061,237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1,559,325</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(1)</w:t>
            </w:r>
          </w:p>
        </w:tc>
        <w:tc>
          <w:tcPr>
            <w:tcW w:w="9946" w:type="dxa"/>
            <w:tcBorders/>
            <w:vAlign w:val="center"/>
          </w:tcPr>
          <w:p>
            <w:pPr>
              <w:pStyle w:val="TableContents"/>
              <w:bidi w:val="0"/>
              <w:spacing w:before="0" w:after="283"/>
              <w:jc w:val="left"/>
              <w:rPr>
                <w:sz w:val="20"/>
              </w:rPr>
            </w:pPr>
            <w:r>
              <w:rPr>
                <w:sz w:val="20"/>
              </w:rPr>
              <w:t>Reflects the impact of the foreign exchange revaluation of the reserve for claims and claim expenses, net of reinsurance recoverable, denominated in non-U.S. dollars as at the balance sheet date.</w:t>
            </w:r>
          </w:p>
        </w:tc>
      </w:tr>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20"/>
              </w:rPr>
            </w:pPr>
            <w:r>
              <w:rPr>
                <w:sz w:val="20"/>
              </w:rPr>
              <w:t>(2)</w:t>
            </w:r>
          </w:p>
        </w:tc>
        <w:tc>
          <w:tcPr>
            <w:tcW w:w="9946" w:type="dxa"/>
            <w:tcBorders/>
            <w:vAlign w:val="center"/>
          </w:tcPr>
          <w:p>
            <w:pPr>
              <w:pStyle w:val="TableContents"/>
              <w:bidi w:val="0"/>
              <w:spacing w:before="0" w:after="283"/>
              <w:jc w:val="left"/>
              <w:rPr>
                <w:sz w:val="20"/>
              </w:rPr>
            </w:pPr>
            <w:r>
              <w:rPr>
                <w:sz w:val="20"/>
              </w:rPr>
              <w:t>Excludes reinsurance recoverable on paid losses of $17.5 million and $13.4 million as of March 31, 2026, and December 31,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declare dividends during the three and twelve months ended March 31, 2026, or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Vantage Group Holdings Ltd. 2020 Share Incentive Plan, as amended, the Company is authorized to issue up to 23,725,000 common shares to eligible persons. The Company may grant awards based on shares of its common stock, including stock options, restricted stock units, and deferred stock units. To date, there have been two types of stock option awards: founders grants and employee grants. The founders grants fully vested on an accelerated schedule linked to financial metrics which were met in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stock options were exercised, and no shares were issued in connection with any option awards during the three months ended March 31, 2026. During the three months ended March 31, 2025, no stock options were granted and 17,015 options were exercised with a weighted average price of $9.00.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Commitments, Contingencies and Other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become involved in a variety of litigation and legal and regulatory proceedings relating to its business operations and, from time to time, it may become involved in other 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necessary, the Company will establish an accrued liability for certain legal and regulatory proceedings. As of March 31, 2026, and December 31, 2025, no accrued liability was recorded.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summarize the Company’s underwriting income by segment, together with a reconciliation of underwriting income to net income attributable to Vantage Group Holdings Ltd. during the periods indicated:</w:t>
      </w:r>
    </w:p>
    <w:p>
      <w:pPr>
        <w:pStyle w:val="TextBody"/>
        <w:bidi w:val="0"/>
        <w:spacing w:before="0" w:after="0"/>
        <w:ind w:left="0" w:right="0" w:hanging="0"/>
        <w:jc w:val="left"/>
        <w:rPr>
          <w:caps w:val="false"/>
          <w:smallCaps w:val="false"/>
        </w:rPr>
      </w:pPr>
      <w:r>
        <w:rPr>
          <w:caps w:val="false"/>
          <w:smallCaps w:val="false"/>
        </w:rPr>
        <w:t> </w:t>
      </w:r>
    </w:p>
    <w:tbl>
      <w:tblPr>
        <w:tblW w:w="9100" w:type="dxa"/>
        <w:jc w:val="left"/>
        <w:tblInd w:w="0" w:type="dxa"/>
        <w:tblLayout w:type="fixed"/>
        <w:tblCellMar>
          <w:top w:w="0" w:type="dxa"/>
          <w:left w:w="0" w:type="dxa"/>
          <w:bottom w:w="0" w:type="dxa"/>
          <w:right w:w="0" w:type="dxa"/>
        </w:tblCellMar>
      </w:tblPr>
      <w:tblGrid>
        <w:gridCol w:w="4790"/>
        <w:gridCol w:w="60"/>
        <w:gridCol w:w="125"/>
        <w:gridCol w:w="755"/>
        <w:gridCol w:w="80"/>
        <w:gridCol w:w="60"/>
        <w:gridCol w:w="163"/>
        <w:gridCol w:w="907"/>
        <w:gridCol w:w="80"/>
        <w:gridCol w:w="60"/>
        <w:gridCol w:w="158"/>
        <w:gridCol w:w="747"/>
        <w:gridCol w:w="80"/>
        <w:gridCol w:w="60"/>
        <w:gridCol w:w="125"/>
        <w:gridCol w:w="755"/>
        <w:gridCol w:w="95"/>
      </w:tblGrid>
      <w:tr>
        <w:trPr/>
        <w:tc>
          <w:tcPr>
            <w:tcW w:w="47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15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 2026</w:t>
            </w:r>
          </w:p>
        </w:tc>
        <w:tc>
          <w:tcPr>
            <w:tcW w:w="95" w:type="dxa"/>
            <w:tcBorders/>
            <w:vAlign w:val="center"/>
          </w:tcPr>
          <w:p>
            <w:pPr>
              <w:pStyle w:val="TableContents"/>
              <w:bidi w:val="0"/>
              <w:spacing w:before="0" w:after="283"/>
              <w:jc w:val="center"/>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Insurance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Reinsurance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center"/>
              <w:rPr/>
            </w:pPr>
            <w:r>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 thousands)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written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245,118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544,662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149,211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286,012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435,223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117,766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285,034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(59,876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(40,605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27,460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11,052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72,177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35,962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65,367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18,589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35,870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65,275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80" w:type="dxa"/>
        <w:jc w:val="left"/>
        <w:tblInd w:w="0" w:type="dxa"/>
        <w:tblLayout w:type="fixed"/>
        <w:tblCellMar>
          <w:top w:w="0" w:type="dxa"/>
          <w:left w:w="0" w:type="dxa"/>
          <w:bottom w:w="0" w:type="dxa"/>
          <w:right w:w="0" w:type="dxa"/>
        </w:tblCellMar>
      </w:tblPr>
      <w:tblGrid>
        <w:gridCol w:w="4790"/>
        <w:gridCol w:w="60"/>
        <w:gridCol w:w="131"/>
        <w:gridCol w:w="729"/>
        <w:gridCol w:w="80"/>
        <w:gridCol w:w="60"/>
        <w:gridCol w:w="163"/>
        <w:gridCol w:w="907"/>
        <w:gridCol w:w="80"/>
        <w:gridCol w:w="60"/>
        <w:gridCol w:w="145"/>
        <w:gridCol w:w="760"/>
        <w:gridCol w:w="80"/>
        <w:gridCol w:w="60"/>
        <w:gridCol w:w="125"/>
        <w:gridCol w:w="755"/>
        <w:gridCol w:w="95"/>
      </w:tblGrid>
      <w:tr>
        <w:trPr/>
        <w:tc>
          <w:tcPr>
            <w:tcW w:w="47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pPr>
            <w:r>
              <w:rPr/>
              <w:t> </w:t>
            </w:r>
          </w:p>
        </w:tc>
        <w:tc>
          <w:tcPr>
            <w:tcW w:w="413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Three months ended March 31, 2025</w:t>
            </w:r>
          </w:p>
        </w:tc>
        <w:tc>
          <w:tcPr>
            <w:tcW w:w="95" w:type="dxa"/>
            <w:tcBorders/>
            <w:vAlign w:val="center"/>
          </w:tcPr>
          <w:p>
            <w:pPr>
              <w:pStyle w:val="TableContents"/>
              <w:bidi w:val="0"/>
              <w:spacing w:before="0" w:after="283"/>
              <w:jc w:val="center"/>
              <w:rPr/>
            </w:pPr>
            <w:r>
              <w:rPr/>
              <w:t> </w:t>
            </w:r>
          </w:p>
        </w:tc>
      </w:tr>
      <w:tr>
        <w:trPr/>
        <w:tc>
          <w:tcPr>
            <w:tcW w:w="4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Insurance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Reinsurance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Corporate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95" w:type="dxa"/>
            <w:tcBorders/>
            <w:vAlign w:val="center"/>
          </w:tcPr>
          <w:p>
            <w:pPr>
              <w:pStyle w:val="TableContents"/>
              <w:bidi w:val="0"/>
              <w:spacing w:before="0" w:after="283"/>
              <w:jc w:val="center"/>
              <w:rPr/>
            </w:pPr>
            <w:r>
              <w:rPr/>
              <w:t> </w:t>
            </w:r>
          </w:p>
        </w:tc>
      </w:tr>
      <w:tr>
        <w:trPr/>
        <w:tc>
          <w:tcPr>
            <w:tcW w:w="4790" w:type="dxa"/>
            <w:tcBorders/>
            <w:shd w:fill="CCEEFF" w:val="clear"/>
            <w:vAlign w:val="center"/>
          </w:tcPr>
          <w:p>
            <w:pPr>
              <w:pStyle w:val="TableContents"/>
              <w:bidi w:val="0"/>
              <w:spacing w:before="0" w:after="283"/>
              <w:jc w:val="left"/>
              <w:rPr>
                <w:i/>
                <w:sz w:val="20"/>
              </w:rPr>
            </w:pPr>
            <w:r>
              <w:rPr>
                <w:i/>
                <w:sz w:val="20"/>
              </w:rPr>
              <w:t>($ in thousands)</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0"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05" w:type="dxa"/>
            <w:gridSpan w:val="2"/>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written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205,173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326,759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531,932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written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123,531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303,057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426,588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earned premiums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131,472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105,253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236,725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(84,526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(156,671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(26,374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(9,764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income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(1,950</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(3,185</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26,008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(13,731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8,850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7,014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9"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9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(3,037</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6,902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completed its subsequent events evaluation for the period subsequent to the balance sheet date of March 31, 2026, through May 11, 2026, the date the unaudited interim consolidated financial statements were available to be issued, and concluded that there were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9" w:name="tm2620400d1_ex99-3.htm"/>
      <w:bookmarkStart w:id="30" w:name="kstm2620400d1_ex993"/>
      <w:bookmarkEnd w:id="29"/>
      <w:bookmarkEnd w:id="30"/>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4, 2026, Howard Hughes Holdings Inc. (the “Company” or “HHH”) completed its previously announced acquisition of all of the issued and outstanding shares of capital stock of Vantage Group Holdings, Ltd., a Bermuda exempted company with liability limited by shares (“Vantage”) for $2.1 billion (the “Acquisition”). The Acquisition was completed pursuant to a Purchase and Sale Agreement entered into on December 17, 2025. In connection with the closing of the Acquisition, the Company also issued $1.0 billion of its non-interest-bearing preferred stock to Pershing Square Holdings, Ltd. (the “Preferred Stock Issuance”, and together with the Acquisition,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prepared in accordance with Article 11 of Regulation S-X as amended and should be read in conjunction with the accompanying notes to the unaudited pro forma condensed combined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derived from:</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HHH’s audited consolidated financial statements and accompanying notes for the year ended December 31, 2025, as included in its Annual Report on Form 10-K for the year ended December 31, 2025, filed with the Securities and Exchange Commission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HHH’s unaudited condensed consolidated financial statements and accompanying notes as of and for the three months ended March 31, 2026, as included in its Quarterly Report on Form 10-Q for the three months ended March 31, 2026, filed with the SEC;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Vantage’s audited consolidated financial statements and accompanying notes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Vantage’s unaudited condensed consolidated financial statements and accompanying notes as of and for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gives effect to the Transactions as if they had occurred (i) as of March 31, 2026 for purposes of the unaudited pro forma condensed combined balance sheet, and (ii) as of January 1, 2025 for purposes of the unaudited pro forma condensed combined statements of operations for the year ended December 31, 2025 and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adjustments for the Transactions were made primarily to reflect:</w:t>
      </w:r>
    </w:p>
    <w:p>
      <w:pPr>
        <w:pStyle w:val="TextBody"/>
        <w:bidi w:val="0"/>
        <w:spacing w:before="0" w:after="0"/>
        <w:ind w:left="0" w:right="0" w:hanging="0"/>
        <w:jc w:val="left"/>
        <w:rPr>
          <w:caps w:val="false"/>
          <w:smallCaps w:val="false"/>
        </w:rPr>
      </w:pPr>
      <w:r>
        <w:rPr>
          <w:caps w:val="false"/>
          <w:smallCaps w:val="false"/>
        </w:rPr>
        <w:t> </w:t>
      </w:r>
    </w:p>
    <w:tbl>
      <w:tblPr>
        <w:tblW w:w="1668" w:type="dxa"/>
        <w:jc w:val="left"/>
        <w:tblInd w:w="0" w:type="dxa"/>
        <w:tblLayout w:type="fixed"/>
        <w:tblCellMar>
          <w:top w:w="0" w:type="dxa"/>
          <w:left w:w="0" w:type="dxa"/>
          <w:bottom w:w="0" w:type="dxa"/>
          <w:right w:w="0" w:type="dxa"/>
        </w:tblCellMar>
      </w:tblPr>
      <w:tblGrid>
        <w:gridCol w:w="38"/>
        <w:gridCol w:w="95"/>
        <w:gridCol w:w="15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3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95"/>
        <w:gridCol w:w="27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Preferred Stock Issuance;</w:t>
            </w:r>
          </w:p>
        </w:tc>
      </w:tr>
    </w:tbl>
    <w:p>
      <w:pPr>
        <w:pStyle w:val="TextBody"/>
        <w:bidi w:val="0"/>
        <w:spacing w:before="0" w:after="0"/>
        <w:ind w:left="0" w:right="0" w:hanging="0"/>
        <w:jc w:val="left"/>
        <w:rPr>
          <w:caps w:val="false"/>
          <w:smallCaps w:val="false"/>
        </w:rPr>
      </w:pPr>
      <w:r>
        <w:rPr>
          <w:caps w:val="false"/>
          <w:smallCaps w:val="false"/>
        </w:rPr>
        <w:t> </w:t>
      </w:r>
    </w:p>
    <w:tbl>
      <w:tblPr>
        <w:tblW w:w="6243" w:type="dxa"/>
        <w:jc w:val="left"/>
        <w:tblInd w:w="0" w:type="dxa"/>
        <w:tblLayout w:type="fixed"/>
        <w:tblCellMar>
          <w:top w:w="0" w:type="dxa"/>
          <w:left w:w="0" w:type="dxa"/>
          <w:bottom w:w="0" w:type="dxa"/>
          <w:right w:w="0" w:type="dxa"/>
        </w:tblCellMar>
      </w:tblPr>
      <w:tblGrid>
        <w:gridCol w:w="38"/>
        <w:gridCol w:w="95"/>
        <w:gridCol w:w="61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transaction costs and fees incurred as a result of the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changes in the carrying values of certain assets and liabilities to reflect their estimated fair values at the date of closing of the Acquisition, including values assigned to intangible assets and reserves for claims and claim expenses and related changes in intangible assets amortization expenses; and</w:t>
            </w:r>
          </w:p>
        </w:tc>
      </w:tr>
    </w:tbl>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95"/>
        <w:gridCol w:w="49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effect of the above adjustments on 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will be accounted for using the acquisition method of accounting. The pro forma information presented, including the allocation of the purchase price, is based on preliminary estimates of the fair values of the assets acquired and liabilities assumed, available information as of the date of this Form 8-K/A Filing and our assumptions. The final purchase price allocation is dependent on, among other things, the finalization of the preliminary asset and liability valuations. The actual adjustments to the combined financial statements upon the closing of the Acquisition will depend on a number of factors, including additional information available and the actual balance of our net assets on the closing date. Therefore, the actual adjustments will differ from the pro forma adjustments, and the differences may be material. Any final adjustments will change the allocation of the purchase price, which could affect the fair value assigned to the assets and liabilities and could result in a change to the unaudited pro forma condensed combined financial data, including a change to goodwill.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HUGHES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Balance Sheet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b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30"/>
        <w:gridCol w:w="60"/>
        <w:gridCol w:w="125"/>
        <w:gridCol w:w="950"/>
        <w:gridCol w:w="80"/>
        <w:gridCol w:w="125"/>
        <w:gridCol w:w="845"/>
        <w:gridCol w:w="80"/>
        <w:gridCol w:w="128"/>
        <w:gridCol w:w="927"/>
        <w:gridCol w:w="80"/>
        <w:gridCol w:w="118"/>
        <w:gridCol w:w="367"/>
        <w:gridCol w:w="60"/>
        <w:gridCol w:w="160"/>
        <w:gridCol w:w="895"/>
        <w:gridCol w:w="60"/>
        <w:gridCol w:w="118"/>
        <w:gridCol w:w="367"/>
        <w:gridCol w:w="60"/>
        <w:gridCol w:w="125"/>
        <w:gridCol w:w="950"/>
        <w:gridCol w:w="95"/>
      </w:tblGrid>
      <w:tr>
        <w:trPr/>
        <w:tc>
          <w:tcPr>
            <w:tcW w:w="3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HHH</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br/>
              <w:t>Vantage,</w:t>
              <w:br/>
              <w:t>Adjusted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b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w:t>
              <w:br/>
              <w:t>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Combined </w:t>
              <w:br/>
              <w:t>Pro Forma</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1075" w:type="dxa"/>
            <w:gridSpan w:val="2"/>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Master Planned Communities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2,653,161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2,653,161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4,100,037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4,100,190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(1,124,704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307,625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1,569,667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1,569,667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 real estate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7,505,786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7,505,939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fixed maturity securities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2,692,696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unconsolidated ventures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167,815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1,835,829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(2,125,594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1,002,843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653,454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667,897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896,051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Municipal Utility District (MUD) receivables,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532,689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532,689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(14,360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555,730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expenses,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(168,745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166,082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539,911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304,293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216,183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578,254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11,248,115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(1,489,332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15,914,882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Mortgages, notes, and loans payable,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5,791,296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5,791,296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2,061,237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(53,568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2,007,669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1,440,767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1,751,297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7,398,206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3,719,911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11,077,915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Mezzanine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4,462,910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4,462,910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(70,272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(624,521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(624,521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3,782,800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1,432,728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3,766,398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3,849,909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1,440,424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(1,449,130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3,841,203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mezzanine equity, and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11,248,115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(1,489,332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15,914,882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HUGHES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40"/>
        <w:gridCol w:w="60"/>
        <w:gridCol w:w="137"/>
        <w:gridCol w:w="770"/>
        <w:gridCol w:w="80"/>
        <w:gridCol w:w="133"/>
        <w:gridCol w:w="742"/>
        <w:gridCol w:w="80"/>
        <w:gridCol w:w="170"/>
        <w:gridCol w:w="885"/>
        <w:gridCol w:w="80"/>
        <w:gridCol w:w="118"/>
        <w:gridCol w:w="367"/>
        <w:gridCol w:w="60"/>
        <w:gridCol w:w="211"/>
        <w:gridCol w:w="844"/>
        <w:gridCol w:w="60"/>
        <w:gridCol w:w="242"/>
        <w:gridCol w:w="243"/>
        <w:gridCol w:w="60"/>
        <w:gridCol w:w="158"/>
        <w:gridCol w:w="788"/>
        <w:gridCol w:w="77"/>
      </w:tblGrid>
      <w:tr>
        <w:trPr/>
        <w:tc>
          <w:tcPr>
            <w:tcW w:w="38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0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HHH</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w:t>
              <w:br/>
              <w:t>Adjusted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Financing </w:t>
              <w:br/>
              <w:t>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46"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77" w:type="dxa"/>
            <w:tcBorders/>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907" w:type="dxa"/>
            <w:gridSpan w:val="2"/>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2010" w:type="dxa"/>
            <w:gridSpan w:val="5"/>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48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gridSpan w:val="2"/>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Condominium rights and unit sales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pPr>
            <w:r>
              <w:rPr/>
              <w:t>$</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Master Planned Communities land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99,573</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revenue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113,549</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earned premiums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285,034</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investment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3"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35,749</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235,917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571,254</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Condominium rights and unit cost of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3,134</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Master Planned Communities 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34,742</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costs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53,033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53,033</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property real estate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16,228</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(recovery of) doubtful accounts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claims and claim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165,662</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underwriting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97,221</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27,703</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48,640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52,828</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8,942</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185,368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459,434</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 (loss),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(409)</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111,411</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14,663</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(41,790)</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extinguishment of debt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(10,226)</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in earnings (losses) from unconsolidated ventures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(2,640)</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71,418</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7,025</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65,367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64,393</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7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78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common stockholders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64,462</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788"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r>
      <w:tr>
        <w:trPr/>
        <w:tc>
          <w:tcPr>
            <w:tcW w:w="38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 (Note 6)</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FFFFFF" w:val="clear"/>
            <w:vAlign w:val="center"/>
          </w:tcPr>
          <w:p>
            <w:pPr>
              <w:pStyle w:val="TableContents"/>
              <w:bidi w:val="0"/>
              <w:spacing w:before="0" w:after="283"/>
              <w:jc w:val="left"/>
              <w:rPr/>
            </w:pPr>
            <w:r>
              <w:rPr/>
              <w:t> </w:t>
            </w:r>
          </w:p>
        </w:tc>
        <w:tc>
          <w:tcPr>
            <w:tcW w:w="742"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78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77" w:type="dxa"/>
            <w:tcBorders/>
            <w:shd w:fill="FFFFFF" w:val="clear"/>
            <w:vAlign w:val="center"/>
          </w:tcPr>
          <w:p>
            <w:pPr>
              <w:pStyle w:val="TableContents"/>
              <w:bidi w:val="0"/>
              <w:spacing w:before="0" w:after="283"/>
              <w:jc w:val="left"/>
              <w:rPr/>
            </w:pPr>
            <w:r>
              <w:rPr/>
              <w:t> </w:t>
            </w:r>
          </w:p>
        </w:tc>
      </w:tr>
      <w:tr>
        <w:trPr/>
        <w:tc>
          <w:tcPr>
            <w:tcW w:w="38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 (Note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3" w:type="dxa"/>
            <w:tcBorders/>
            <w:shd w:fill="CCEEFF" w:val="clear"/>
            <w:vAlign w:val="center"/>
          </w:tcPr>
          <w:p>
            <w:pPr>
              <w:pStyle w:val="TableContents"/>
              <w:bidi w:val="0"/>
              <w:spacing w:before="0" w:after="283"/>
              <w:jc w:val="left"/>
              <w:rPr/>
            </w:pPr>
            <w:r>
              <w:rPr/>
              <w:t> </w:t>
            </w:r>
          </w:p>
        </w:tc>
        <w:tc>
          <w:tcPr>
            <w:tcW w:w="742"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8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7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HOWARD HUGHES HOLDINGS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45"/>
        <w:gridCol w:w="60"/>
        <w:gridCol w:w="125"/>
        <w:gridCol w:w="845"/>
        <w:gridCol w:w="80"/>
        <w:gridCol w:w="125"/>
        <w:gridCol w:w="845"/>
        <w:gridCol w:w="80"/>
        <w:gridCol w:w="149"/>
        <w:gridCol w:w="906"/>
        <w:gridCol w:w="80"/>
        <w:gridCol w:w="118"/>
        <w:gridCol w:w="367"/>
        <w:gridCol w:w="60"/>
        <w:gridCol w:w="261"/>
        <w:gridCol w:w="794"/>
        <w:gridCol w:w="60"/>
        <w:gridCol w:w="242"/>
        <w:gridCol w:w="243"/>
        <w:gridCol w:w="60"/>
        <w:gridCol w:w="140"/>
        <w:gridCol w:w="845"/>
        <w:gridCol w:w="75"/>
      </w:tblGrid>
      <w:tr>
        <w:trPr/>
        <w:tc>
          <w:tcPr>
            <w:tcW w:w="36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HHH</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w:t>
              <w:br/>
              <w:t>Adjusted</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Accounting</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Financing </w:t>
              <w:br/>
              <w:t>Adjustments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75" w:type="dxa"/>
            <w:tcBorders/>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Condominium rights and unit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370,156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370,156</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Master Planned Communities land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562,586</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Rental revenue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441,446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441,446</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earned premiums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1,035,443</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investment income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127,452</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1,178,483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2,653,375</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Condominium rights and unit cost of sales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369,408</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Master Planned Communities cost of sales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188,704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188,704</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Operating costs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213,449</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Rental property real estate taxes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60,768</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Provision for (recovery of) doubtful accounts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Insurance claims and claim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624,784</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Insurance underwriting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527,971</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General and administrative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122,240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146,112</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Depreciation and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200,077</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Other</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37,283</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1,157,179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206,929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2,368,788</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sz w:val="20"/>
              </w:rPr>
            </w:pPr>
            <w:r>
              <w:rPr>
                <w:sz w:val="20"/>
              </w:rPr>
              <w:t>Gain (loss) on sale or disposal of real estate and other assets,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29,825</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 (loss),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(16,023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(12,107)</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18,143</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income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331,515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302,730</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46,998</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(169,931)</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extinguishment of debt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(698)</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(loss) on sale of MUD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(48,197)</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Equity in earnings (losses) from unconsolidated ventures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1,772</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161,459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(206,929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132,674</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37,616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(43,455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7"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(29,442)</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162,116</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sz w:val="20"/>
              </w:rPr>
            </w:pPr>
            <w:r>
              <w:rPr>
                <w:sz w:val="20"/>
              </w:rPr>
              <w:t>Net (income) loss attributable to noncontrolling interests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9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(4,652)</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b/>
                <w:sz w:val="20"/>
              </w:rPr>
            </w:pPr>
            <w:r>
              <w:rPr>
                <w:b/>
                <w:sz w:val="20"/>
              </w:rPr>
              <w:t>Net income (loss) attributable to common stockholders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123,897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197,041</w:t>
            </w:r>
          </w:p>
        </w:tc>
        <w:tc>
          <w:tcPr>
            <w:tcW w:w="80" w:type="dxa"/>
            <w:tcBorders/>
            <w:shd w:fill="FFFFFF" w:val="clear"/>
            <w:vAlign w:val="center"/>
          </w:tcPr>
          <w:p>
            <w:pPr>
              <w:pStyle w:val="TableContents"/>
              <w:bidi w:val="0"/>
              <w:spacing w:before="0" w:after="283"/>
              <w:jc w:val="left"/>
              <w:rPr>
                <w:sz w:val="4"/>
                <w:szCs w:val="4"/>
              </w:rPr>
            </w:pPr>
            <w:r>
              <w:rPr>
                <w:sz w:val="4"/>
                <w:szCs w:val="4"/>
              </w:rPr>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(163,474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157,464</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pPr>
            <w:r>
              <w:rPr/>
              <w:t> </w:t>
            </w:r>
          </w:p>
        </w:tc>
      </w:tr>
      <w:tr>
        <w:trPr/>
        <w:tc>
          <w:tcPr>
            <w:tcW w:w="36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(loss) per share (Note 6)</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36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center"/>
              <w:rPr/>
            </w:pPr>
            <w:r>
              <w:rPr/>
              <w:t> </w:t>
            </w:r>
          </w:p>
        </w:tc>
        <w:tc>
          <w:tcPr>
            <w:tcW w:w="243"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75" w:type="dxa"/>
            <w:tcBorders/>
            <w:shd w:fill="FFFFFF" w:val="clear"/>
            <w:vAlign w:val="center"/>
          </w:tcPr>
          <w:p>
            <w:pPr>
              <w:pStyle w:val="TableContents"/>
              <w:bidi w:val="0"/>
              <w:spacing w:before="0" w:after="283"/>
              <w:jc w:val="left"/>
              <w:rPr/>
            </w:pPr>
            <w:r>
              <w:rPr/>
              <w:t> </w:t>
            </w:r>
          </w:p>
        </w:tc>
      </w:tr>
      <w:tr>
        <w:trPr/>
        <w:tc>
          <w:tcPr>
            <w:tcW w:w="36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income (loss) per share (Note 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367"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center"/>
              <w:rPr/>
            </w:pPr>
            <w:r>
              <w:rPr/>
              <w:t> </w:t>
            </w:r>
          </w:p>
        </w:tc>
        <w:tc>
          <w:tcPr>
            <w:tcW w:w="243"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Balance Sheet</w:t>
        <w:br/>
        <w:t>(in thousands)</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38"/>
        <w:gridCol w:w="245"/>
        <w:gridCol w:w="531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both"/>
              <w:rPr/>
            </w:pPr>
            <w:r>
              <w:rPr/>
              <w:t> </w:t>
            </w:r>
            <w:r>
              <w:rPr>
                <w:rFonts w:ascii="Times New Roman;Times;Serif" w:hAnsi="Times New Roman;Times;Serif"/>
                <w:sz w:val="20"/>
              </w:rPr>
              <w:t>Reflects the following adjustments to cash and cash equivalents:</w:t>
            </w:r>
          </w:p>
        </w:tc>
      </w:tr>
    </w:tbl>
    <w:p>
      <w:pPr>
        <w:pStyle w:val="TextBody"/>
        <w:bidi w:val="0"/>
        <w:spacing w:before="0" w:after="0"/>
        <w:ind w:left="0" w:right="0" w:hanging="0"/>
        <w:jc w:val="left"/>
        <w:rPr>
          <w:caps w:val="false"/>
          <w:smallCaps w:val="false"/>
        </w:rPr>
      </w:pPr>
      <w:r>
        <w:rPr>
          <w:caps w:val="false"/>
          <w:smallCaps w:val="false"/>
        </w:rPr>
        <w:t> </w:t>
      </w:r>
    </w:p>
    <w:tbl>
      <w:tblPr>
        <w:tblW w:w="7460" w:type="dxa"/>
        <w:jc w:val="left"/>
        <w:tblInd w:w="0" w:type="dxa"/>
        <w:tblLayout w:type="fixed"/>
        <w:tblCellMar>
          <w:top w:w="0" w:type="dxa"/>
          <w:left w:w="0" w:type="dxa"/>
          <w:bottom w:w="0" w:type="dxa"/>
          <w:right w:w="0" w:type="dxa"/>
        </w:tblCellMar>
      </w:tblPr>
      <w:tblGrid>
        <w:gridCol w:w="6275"/>
        <w:gridCol w:w="60"/>
        <w:gridCol w:w="125"/>
        <w:gridCol w:w="905"/>
        <w:gridCol w:w="95"/>
      </w:tblGrid>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purchase price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(2,099,992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HHH transaction expenses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(25,602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accounting adjustments to cash and cash equivalents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(2,125,594</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62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2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Redeemable preferred stock issued by HHH to Pershing Square Holdings, Ltd</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995,764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2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adjustments to cash and cash equivalents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995,764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 the Company issued $1.0 billion of redeemable preferred stock, which has been reflected in temporary equity in the accompanying unaudited pro forma condensed combined balance sheet. The Company incurred $4.2 million of costs related to the issuance of the redeemable preferred stock, which are reflected as a reduction of the gross proceeds in temporary equity in the unaudited pro forma condensed combined balance sheet. The redeemable preferred stock is non-interest bearing, non-voting, other than customary protective provisions, ranks pari passu with the Company's common stock with respect to payment rights and liquidation, and is entitled to dividends only if declared by the majority of disinterested directors of the Board.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4" w:type="dxa"/>
            <w:tcBorders/>
            <w:vAlign w:val="center"/>
          </w:tcPr>
          <w:p>
            <w:pPr>
              <w:pStyle w:val="TableContents"/>
              <w:bidi w:val="0"/>
              <w:spacing w:before="0" w:after="283"/>
              <w:jc w:val="left"/>
              <w:rPr/>
            </w:pPr>
            <w:r>
              <w:rPr/>
              <w:t>Reflects the estimated goodwill from the preliminary purchase price allocation as of March 31, 2026, resulting from the Acquisition. For purposes of determining the purchase price allocation, the fair market value of tangible and intangible assets acquired, and liabilities assumed were estimated as of March 31, 2026. Except for the specific fair value adjustments discussed in the notes hereto, we have concluded that the historical carrying value of assets acquired and liabilities assumed reflect fair value. The final purchase price allocation will be based on an appraisal subsequent to the consummation of the Acquisition and any change in the final allocation of the purchase price to the assets acquired and the liabilities assumed could materially affect the amount of recorded goodwill.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purchase price allocation is as follows:</w:t>
      </w:r>
    </w:p>
    <w:p>
      <w:pPr>
        <w:pStyle w:val="TextBody"/>
        <w:bidi w:val="0"/>
        <w:spacing w:before="0" w:after="0"/>
        <w:ind w:left="0" w:right="0" w:hanging="0"/>
        <w:jc w:val="left"/>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4175"/>
        <w:gridCol w:w="60"/>
        <w:gridCol w:w="125"/>
        <w:gridCol w:w="905"/>
        <w:gridCol w:w="95"/>
      </w:tblGrid>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purchase price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2,099,992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Allocated to:</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 real estate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fixed maturity securities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2,692,696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296,844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764,492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555,730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553,417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(2,007,669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(319,730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fair value of net assets acquired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1,795,699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allocation to goodwill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304,293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fair value assessment after the Acquisition, it is anticipated that the ultimate purchase price allocation will differ from the preliminary assessment outlined above. Any changes to the initial estimates of the fair value of the acquired assets and assumed liabilities will be recorded as adjustments to those assets and liabilities and residual amounts will be allocated to goodwill.</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283"/>
              <w:jc w:val="left"/>
              <w:rPr/>
            </w:pPr>
            <w:r>
              <w:rPr/>
              <w:t>Represents the adjustment to reclassify Vantage’s historical deferred tax asset of $24.8 million from other assets, net to deferred tax liabilities, net. This amount has been reclassified as the differences between the book and tax basis created through purchase accounting has resulted in a net deferred tax liability position. The table below illustrates the tax implications from the pro forma adjustments. The estimate of deferred tax liability is preliminary and subject to change based on the final determination of the fair value of acquired assets and assumed liabilities by jurisdiction.</w:t>
            </w:r>
          </w:p>
        </w:tc>
      </w:tr>
    </w:tbl>
    <w:p>
      <w:pPr>
        <w:pStyle w:val="TextBody"/>
        <w:bidi w:val="0"/>
        <w:spacing w:before="0" w:after="0"/>
        <w:ind w:left="0" w:right="0" w:hanging="0"/>
        <w:jc w:val="left"/>
        <w:rPr>
          <w:caps w:val="false"/>
          <w:smallCaps w:val="false"/>
        </w:rPr>
      </w:pPr>
      <w:r>
        <w:rPr>
          <w:caps w:val="false"/>
          <w:smallCaps w:val="false"/>
        </w:rPr>
        <w:t>  </w:t>
      </w:r>
    </w:p>
    <w:tbl>
      <w:tblPr>
        <w:tblW w:w="6652" w:type="dxa"/>
        <w:jc w:val="left"/>
        <w:tblInd w:w="0" w:type="dxa"/>
        <w:tblLayout w:type="fixed"/>
        <w:tblCellMar>
          <w:top w:w="0" w:type="dxa"/>
          <w:left w:w="0" w:type="dxa"/>
          <w:bottom w:w="0" w:type="dxa"/>
          <w:right w:w="0" w:type="dxa"/>
        </w:tblCellMar>
      </w:tblPr>
      <w:tblGrid>
        <w:gridCol w:w="2990"/>
        <w:gridCol w:w="60"/>
        <w:gridCol w:w="209"/>
        <w:gridCol w:w="995"/>
        <w:gridCol w:w="60"/>
        <w:gridCol w:w="60"/>
        <w:gridCol w:w="168"/>
        <w:gridCol w:w="796"/>
        <w:gridCol w:w="60"/>
        <w:gridCol w:w="60"/>
        <w:gridCol w:w="177"/>
        <w:gridCol w:w="922"/>
        <w:gridCol w:w="95"/>
      </w:tblGrid>
      <w:tr>
        <w:trPr/>
        <w:tc>
          <w:tcPr>
            <w:tcW w:w="29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 Net</w:t>
              <w:br/>
              <w:t>Book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Transaction </w:t>
              <w:br/>
              <w:t>Accounting</w:t>
              <w:br/>
              <w:t>Adjustments</w:t>
            </w:r>
          </w:p>
        </w:tc>
        <w:tc>
          <w:tcPr>
            <w:tcW w:w="95" w:type="dxa"/>
            <w:tcBorders/>
            <w:vAlign w:val="center"/>
          </w:tcPr>
          <w:p>
            <w:pPr>
              <w:pStyle w:val="TableContents"/>
              <w:bidi w:val="0"/>
              <w:spacing w:before="0" w:after="283"/>
              <w:jc w:val="center"/>
              <w:rPr/>
            </w:pPr>
            <w:r>
              <w:rPr/>
              <w:t> </w:t>
            </w:r>
          </w:p>
        </w:tc>
      </w:tr>
      <w:tr>
        <w:trPr/>
        <w:tc>
          <w:tcPr>
            <w:tcW w:w="2990" w:type="dxa"/>
            <w:tcBorders/>
            <w:shd w:fill="CCEEFF" w:val="clear"/>
            <w:vAlign w:val="center"/>
          </w:tcPr>
          <w:p>
            <w:pPr>
              <w:pStyle w:val="TableContents"/>
              <w:bidi w:val="0"/>
              <w:spacing w:before="0" w:after="283"/>
              <w:jc w:val="left"/>
              <w:rPr>
                <w:sz w:val="20"/>
              </w:rPr>
            </w:pPr>
            <w:r>
              <w:rPr>
                <w:sz w:val="20"/>
              </w:rPr>
              <w:t>Historical Vantage deferred tax asset</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sz w:val="20"/>
              </w:rPr>
            </w:pPr>
            <w:r>
              <w:rPr>
                <w:sz w:val="20"/>
              </w:rPr>
              <w:t>$</w:t>
            </w:r>
          </w:p>
        </w:tc>
        <w:tc>
          <w:tcPr>
            <w:tcW w:w="995" w:type="dxa"/>
            <w:tcBorders/>
            <w:shd w:fill="CCEEFF" w:val="clear"/>
            <w:vAlign w:val="center"/>
          </w:tcPr>
          <w:p>
            <w:pPr>
              <w:pStyle w:val="TableContents"/>
              <w:bidi w:val="0"/>
              <w:spacing w:before="0" w:after="283"/>
              <w:jc w:val="right"/>
              <w:rPr>
                <w:sz w:val="20"/>
              </w:rPr>
            </w:pPr>
            <w:r>
              <w:rPr>
                <w:sz w:val="20"/>
              </w:rPr>
              <w:t>24,837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sz w:val="20"/>
              </w:rPr>
            </w:pPr>
            <w:r>
              <w:rPr>
                <w:sz w:val="20"/>
              </w:rPr>
              <w:t>$</w:t>
            </w:r>
          </w:p>
        </w:tc>
        <w:tc>
          <w:tcPr>
            <w:tcW w:w="796"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20"/>
              </w:rPr>
            </w:pPr>
            <w:r>
              <w:rPr>
                <w:sz w:val="20"/>
              </w:rPr>
              <w:t>$</w:t>
            </w:r>
          </w:p>
        </w:tc>
        <w:tc>
          <w:tcPr>
            <w:tcW w:w="922" w:type="dxa"/>
            <w:tcBorders/>
            <w:shd w:fill="CCEEFF" w:val="clear"/>
            <w:vAlign w:val="center"/>
          </w:tcPr>
          <w:p>
            <w:pPr>
              <w:pStyle w:val="TableContents"/>
              <w:bidi w:val="0"/>
              <w:spacing w:before="0" w:after="283"/>
              <w:jc w:val="right"/>
              <w:rPr>
                <w:sz w:val="20"/>
              </w:rPr>
            </w:pPr>
            <w:r>
              <w:rPr>
                <w:sz w:val="20"/>
              </w:rPr>
              <w:t>(24,837</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990" w:type="dxa"/>
            <w:tcBorders/>
            <w:shd w:fill="FFFFFF" w:val="clear"/>
            <w:vAlign w:val="center"/>
          </w:tcPr>
          <w:p>
            <w:pPr>
              <w:pStyle w:val="TableContents"/>
              <w:bidi w:val="0"/>
              <w:spacing w:before="0" w:after="283"/>
              <w:jc w:val="left"/>
              <w:rPr>
                <w:sz w:val="20"/>
              </w:rPr>
            </w:pPr>
            <w:r>
              <w:rPr>
                <w:sz w:val="20"/>
              </w:rPr>
              <w:t>Deferred tax liabilities, net</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sz w:val="20"/>
              </w:rPr>
            </w:pPr>
            <w:r>
              <w:rPr>
                <w:sz w:val="20"/>
              </w:rPr>
              <w:t>22,566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sz w:val="20"/>
              </w:rPr>
            </w:pPr>
            <w:r>
              <w:rPr>
                <w:sz w:val="20"/>
              </w:rPr>
              <w:t>22,566</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(4)</w:t>
            </w:r>
          </w:p>
        </w:tc>
        <w:tc>
          <w:tcPr>
            <w:tcW w:w="9925" w:type="dxa"/>
            <w:tcBorders/>
            <w:vAlign w:val="center"/>
          </w:tcPr>
          <w:p>
            <w:pPr>
              <w:pStyle w:val="TableContents"/>
              <w:bidi w:val="0"/>
              <w:spacing w:before="0" w:after="283"/>
              <w:jc w:val="left"/>
              <w:rPr/>
            </w:pPr>
            <w:r>
              <w:rPr/>
              <w:t>Reflects the estimated identifiable intangible assets from the preliminary purchase price allocation as of March 31, 2026, resulting from the Acquisition. A summary of the effects of the preliminary purchase price allocation to the identifiable intangible assets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7197" w:type="dxa"/>
        <w:jc w:val="left"/>
        <w:tblInd w:w="0" w:type="dxa"/>
        <w:tblLayout w:type="fixed"/>
        <w:tblCellMar>
          <w:top w:w="0" w:type="dxa"/>
          <w:left w:w="0" w:type="dxa"/>
          <w:bottom w:w="0" w:type="dxa"/>
          <w:right w:w="0" w:type="dxa"/>
        </w:tblCellMar>
      </w:tblPr>
      <w:tblGrid>
        <w:gridCol w:w="3470"/>
        <w:gridCol w:w="60"/>
        <w:gridCol w:w="201"/>
        <w:gridCol w:w="1048"/>
        <w:gridCol w:w="80"/>
        <w:gridCol w:w="60"/>
        <w:gridCol w:w="147"/>
        <w:gridCol w:w="817"/>
        <w:gridCol w:w="60"/>
        <w:gridCol w:w="60"/>
        <w:gridCol w:w="166"/>
        <w:gridCol w:w="933"/>
        <w:gridCol w:w="95"/>
      </w:tblGrid>
      <w:tr>
        <w:trPr/>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Net </w:t>
              <w:br/>
              <w:t>Book Value</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Transaction </w:t>
              <w:br/>
              <w:t xml:space="preserve">Accounting </w:t>
              <w:br/>
              <w:t>Adjustments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relationships - insurance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sz w:val="20"/>
              </w:rPr>
            </w:pPr>
            <w:r>
              <w:rPr>
                <w:sz w:val="20"/>
              </w:rPr>
              <w:t>$</w:t>
            </w:r>
          </w:p>
        </w:tc>
        <w:tc>
          <w:tcPr>
            <w:tcW w:w="817" w:type="dxa"/>
            <w:tcBorders/>
            <w:shd w:fill="CCEEFF" w:val="clear"/>
            <w:vAlign w:val="center"/>
          </w:tcPr>
          <w:p>
            <w:pPr>
              <w:pStyle w:val="TableContents"/>
              <w:bidi w:val="0"/>
              <w:spacing w:before="0" w:after="283"/>
              <w:jc w:val="right"/>
              <w:rPr>
                <w:sz w:val="20"/>
              </w:rPr>
            </w:pPr>
            <w:r>
              <w:rPr>
                <w:sz w:val="20"/>
              </w:rPr>
              <w:t>183,000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183,000</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relationships - reinsurance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Tradename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licenses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(4,225</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and used technology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(28,991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business acquired (“VOBA”)</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gross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57,216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507,784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Accumulated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Intangible assets, net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565,000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539,911</w:t>
            </w:r>
          </w:p>
        </w:tc>
        <w:tc>
          <w:tcPr>
            <w:tcW w:w="9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assigned to the identifiable intangible assets has been estimated based on a preliminary analysis as of March 31, 2026. The final purchase price allocation will be based on certain valuation and other studies that have yet to progress to a stage where there is sufficient information for a definitive measurement. The final valuation may result in a materially different allocation for intangible assets than that presented in this unaudited pro forma condensed combined balance sheet. Any change in the amount of the final purchase price allocated to amortizable, finite-lived intangible assets could materially affect the amount of amortization expense.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(5)</w:t>
            </w:r>
          </w:p>
        </w:tc>
        <w:tc>
          <w:tcPr>
            <w:tcW w:w="9921" w:type="dxa"/>
            <w:tcBorders/>
            <w:vAlign w:val="center"/>
          </w:tcPr>
          <w:p>
            <w:pPr>
              <w:pStyle w:val="TableContents"/>
              <w:bidi w:val="0"/>
              <w:spacing w:before="0" w:after="283"/>
              <w:jc w:val="left"/>
              <w:rPr/>
            </w:pPr>
            <w:r>
              <w:rPr/>
              <w:t>Reflects the estimated reserves from the preliminary purchase price allocation as of March 31, 2026, resulting from the Acquisition. A summary of the effects of the preliminary purchase price allocation to the reserves is as follows:</w:t>
            </w:r>
          </w:p>
        </w:tc>
      </w:tr>
    </w:tbl>
    <w:p>
      <w:pPr>
        <w:pStyle w:val="TextBody"/>
        <w:bidi w:val="0"/>
        <w:spacing w:before="0" w:after="0"/>
        <w:ind w:left="0" w:right="0" w:hanging="0"/>
        <w:jc w:val="left"/>
        <w:rPr>
          <w:caps w:val="false"/>
          <w:smallCaps w:val="false"/>
        </w:rPr>
      </w:pPr>
      <w:r>
        <w:rPr>
          <w:caps w:val="false"/>
          <w:smallCaps w:val="false"/>
        </w:rPr>
        <w:t> </w:t>
      </w:r>
    </w:p>
    <w:tbl>
      <w:tblPr>
        <w:tblW w:w="7843" w:type="dxa"/>
        <w:jc w:val="left"/>
        <w:tblInd w:w="0" w:type="dxa"/>
        <w:tblLayout w:type="fixed"/>
        <w:tblCellMar>
          <w:top w:w="0" w:type="dxa"/>
          <w:left w:w="0" w:type="dxa"/>
          <w:bottom w:w="0" w:type="dxa"/>
          <w:right w:w="0" w:type="dxa"/>
        </w:tblCellMar>
      </w:tblPr>
      <w:tblGrid>
        <w:gridCol w:w="4175"/>
        <w:gridCol w:w="60"/>
        <w:gridCol w:w="155"/>
        <w:gridCol w:w="1049"/>
        <w:gridCol w:w="60"/>
        <w:gridCol w:w="60"/>
        <w:gridCol w:w="125"/>
        <w:gridCol w:w="845"/>
        <w:gridCol w:w="60"/>
        <w:gridCol w:w="60"/>
        <w:gridCol w:w="177"/>
        <w:gridCol w:w="922"/>
        <w:gridCol w:w="9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 Net</w:t>
              <w:br/>
              <w:t>Book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Transaction </w:t>
              <w:br/>
              <w:t>Accounting</w:t>
              <w:br/>
              <w:t>Adjustments</w:t>
            </w:r>
          </w:p>
        </w:tc>
        <w:tc>
          <w:tcPr>
            <w:tcW w:w="95" w:type="dxa"/>
            <w:tcBorders/>
            <w:vAlign w:val="center"/>
          </w:tcPr>
          <w:p>
            <w:pPr>
              <w:pStyle w:val="TableContents"/>
              <w:bidi w:val="0"/>
              <w:spacing w:before="0" w:after="283"/>
              <w:jc w:val="center"/>
              <w:rPr/>
            </w:pPr>
            <w:r>
              <w:rPr/>
              <w:t> </w:t>
            </w:r>
          </w:p>
        </w:tc>
      </w:tr>
      <w:tr>
        <w:trPr/>
        <w:tc>
          <w:tcPr>
            <w:tcW w:w="4175" w:type="dxa"/>
            <w:tcBorders/>
            <w:shd w:fill="CCEEFF" w:val="clear"/>
            <w:vAlign w:val="center"/>
          </w:tcPr>
          <w:p>
            <w:pPr>
              <w:pStyle w:val="TableContents"/>
              <w:bidi w:val="0"/>
              <w:spacing w:before="0" w:after="283"/>
              <w:jc w:val="left"/>
              <w:rPr>
                <w:sz w:val="20"/>
              </w:rPr>
            </w:pPr>
            <w:r>
              <w:rPr>
                <w:sz w:val="20"/>
              </w:rPr>
              <w:t>Reserves for claims and claim expenses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049" w:type="dxa"/>
            <w:tcBorders/>
            <w:shd w:fill="CCEEFF" w:val="clear"/>
            <w:vAlign w:val="center"/>
          </w:tcPr>
          <w:p>
            <w:pPr>
              <w:pStyle w:val="TableContents"/>
              <w:bidi w:val="0"/>
              <w:spacing w:before="0" w:after="283"/>
              <w:jc w:val="right"/>
              <w:rPr>
                <w:sz w:val="20"/>
              </w:rPr>
            </w:pPr>
            <w:r>
              <w:rPr>
                <w:sz w:val="20"/>
              </w:rPr>
              <w:t>2,061,237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2,007,669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sz w:val="20"/>
              </w:rPr>
            </w:pPr>
            <w:r>
              <w:rPr>
                <w:sz w:val="20"/>
              </w:rPr>
              <w:t>$</w:t>
            </w:r>
          </w:p>
        </w:tc>
        <w:tc>
          <w:tcPr>
            <w:tcW w:w="922" w:type="dxa"/>
            <w:tcBorders/>
            <w:shd w:fill="CCEEFF" w:val="clear"/>
            <w:vAlign w:val="center"/>
          </w:tcPr>
          <w:p>
            <w:pPr>
              <w:pStyle w:val="TableContents"/>
              <w:bidi w:val="0"/>
              <w:spacing w:before="0" w:after="283"/>
              <w:jc w:val="right"/>
              <w:rPr>
                <w:sz w:val="20"/>
              </w:rPr>
            </w:pPr>
            <w:r>
              <w:rPr>
                <w:sz w:val="20"/>
              </w:rPr>
              <w:t>(53,568</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4175" w:type="dxa"/>
            <w:tcBorders/>
            <w:shd w:fill="FFFFFF" w:val="clear"/>
            <w:vAlign w:val="center"/>
          </w:tcPr>
          <w:p>
            <w:pPr>
              <w:pStyle w:val="TableContents"/>
              <w:bidi w:val="0"/>
              <w:spacing w:before="0" w:after="283"/>
              <w:jc w:val="left"/>
              <w:rPr>
                <w:sz w:val="20"/>
              </w:rPr>
            </w:pPr>
            <w:r>
              <w:rPr>
                <w:sz w:val="20"/>
              </w:rPr>
              <w:t>Reinsurance recoverable on paid and unpaid losses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sz w:val="20"/>
              </w:rPr>
            </w:pPr>
            <w:r>
              <w:rPr>
                <w:sz w:val="20"/>
              </w:rPr>
              <w:t>570,090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555,730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right"/>
              <w:rPr>
                <w:sz w:val="20"/>
              </w:rPr>
            </w:pPr>
            <w:r>
              <w:rPr>
                <w:sz w:val="20"/>
              </w:rPr>
              <w:t>(14,360</w:t>
            </w:r>
          </w:p>
        </w:tc>
        <w:tc>
          <w:tcPr>
            <w:tcW w:w="95" w:type="dxa"/>
            <w:tcBorders/>
            <w:shd w:fill="FFFF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firstLine="36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(6)</w:t>
            </w:r>
          </w:p>
        </w:tc>
        <w:tc>
          <w:tcPr>
            <w:tcW w:w="9916" w:type="dxa"/>
            <w:tcBorders/>
            <w:vAlign w:val="center"/>
          </w:tcPr>
          <w:p>
            <w:pPr>
              <w:pStyle w:val="TableContents"/>
              <w:bidi w:val="0"/>
              <w:spacing w:before="0" w:after="283"/>
              <w:jc w:val="left"/>
              <w:rPr/>
            </w:pPr>
            <w:r>
              <w:rPr/>
              <w:t>The following table presents the amounts of unamortized historical deferred acquisition costs, which are removed upon closing of the Acquisition and, therefore eliminated from the pro forma information.</w:t>
            </w:r>
          </w:p>
        </w:tc>
      </w:tr>
    </w:tbl>
    <w:p>
      <w:pPr>
        <w:pStyle w:val="TextBody"/>
        <w:bidi w:val="0"/>
        <w:spacing w:before="0" w:after="283"/>
        <w:jc w:val="left"/>
        <w:rPr/>
      </w:pPr>
      <w:r>
        <w:rPr/>
        <w:t> </w:t>
      </w:r>
    </w:p>
    <w:tbl>
      <w:tblPr>
        <w:tblW w:w="5797" w:type="dxa"/>
        <w:jc w:val="left"/>
        <w:tblInd w:w="0" w:type="dxa"/>
        <w:tblLayout w:type="fixed"/>
        <w:tblCellMar>
          <w:top w:w="0" w:type="dxa"/>
          <w:left w:w="0" w:type="dxa"/>
          <w:bottom w:w="28" w:type="dxa"/>
          <w:right w:w="0" w:type="dxa"/>
        </w:tblCellMar>
      </w:tblPr>
      <w:tblGrid>
        <w:gridCol w:w="2135"/>
        <w:gridCol w:w="60"/>
        <w:gridCol w:w="183"/>
        <w:gridCol w:w="1021"/>
        <w:gridCol w:w="60"/>
        <w:gridCol w:w="60"/>
        <w:gridCol w:w="586"/>
        <w:gridCol w:w="378"/>
        <w:gridCol w:w="60"/>
        <w:gridCol w:w="60"/>
        <w:gridCol w:w="155"/>
        <w:gridCol w:w="944"/>
        <w:gridCol w:w="95"/>
      </w:tblGrid>
      <w:tr>
        <w:trPr/>
        <w:tc>
          <w:tcPr>
            <w:tcW w:w="2135" w:type="dxa"/>
            <w:tcBorders>
              <w:bottom w:val="single" w:sz="8" w:space="0" w:color="000000"/>
            </w:tcBorders>
            <w:vAlign w:val="center"/>
          </w:tcPr>
          <w:p>
            <w:pPr>
              <w:pStyle w:val="TableContents"/>
              <w:bidi w:val="0"/>
              <w:spacing w:before="0" w:after="283"/>
              <w:jc w:val="left"/>
              <w:rPr>
                <w:b/>
                <w:sz w:val="20"/>
              </w:rPr>
            </w:pPr>
            <w:r>
              <w:rPr>
                <w:b/>
                <w:sz w:val="20"/>
              </w:rPr>
              <w:t>Deferred expenses, net</w:t>
            </w:r>
          </w:p>
        </w:tc>
        <w:tc>
          <w:tcPr>
            <w:tcW w:w="60" w:type="dxa"/>
            <w:tcBorders/>
            <w:tcMar>
              <w:bottom w:w="0" w:type="dxa"/>
            </w:tcMar>
            <w:vAlign w:val="center"/>
          </w:tcPr>
          <w:p>
            <w:pPr>
              <w:pStyle w:val="TableContents"/>
              <w:bidi w:val="0"/>
              <w:spacing w:before="0" w:after="283"/>
              <w:jc w:val="center"/>
              <w:rPr/>
            </w:pPr>
            <w:r>
              <w:rPr/>
              <w:t> </w:t>
            </w:r>
          </w:p>
        </w:tc>
        <w:tc>
          <w:tcPr>
            <w:tcW w:w="1204" w:type="dxa"/>
            <w:gridSpan w:val="2"/>
            <w:tcBorders>
              <w:bottom w:val="single" w:sz="8" w:space="0" w:color="000000"/>
            </w:tcBorders>
            <w:vAlign w:val="center"/>
          </w:tcPr>
          <w:p>
            <w:pPr>
              <w:pStyle w:val="TableContents"/>
              <w:bidi w:val="0"/>
              <w:spacing w:before="0" w:after="283"/>
              <w:jc w:val="center"/>
              <w:rPr>
                <w:b/>
                <w:sz w:val="20"/>
              </w:rPr>
            </w:pPr>
            <w:r>
              <w:rPr>
                <w:b/>
                <w:sz w:val="20"/>
              </w:rPr>
              <w:t>Historical Net</w:t>
              <w:br/>
              <w:t>Book Value</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964" w:type="dxa"/>
            <w:gridSpan w:val="2"/>
            <w:tcBorders>
              <w:bottom w:val="single" w:sz="8" w:space="0" w:color="000000"/>
            </w:tcBorders>
            <w:vAlign w:val="center"/>
          </w:tcPr>
          <w:p>
            <w:pPr>
              <w:pStyle w:val="TableContents"/>
              <w:bidi w:val="0"/>
              <w:spacing w:before="0" w:after="283"/>
              <w:jc w:val="center"/>
              <w:rPr>
                <w:b/>
                <w:sz w:val="20"/>
              </w:rPr>
            </w:pPr>
            <w:r>
              <w:rPr>
                <w:b/>
                <w:sz w:val="20"/>
              </w:rPr>
              <w:t>Pro Forma</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099" w:type="dxa"/>
            <w:gridSpan w:val="2"/>
            <w:tcBorders>
              <w:bottom w:val="single" w:sz="8" w:space="0" w:color="000000"/>
            </w:tcBorders>
            <w:vAlign w:val="center"/>
          </w:tcPr>
          <w:p>
            <w:pPr>
              <w:pStyle w:val="TableContents"/>
              <w:bidi w:val="0"/>
              <w:spacing w:before="0" w:after="283"/>
              <w:jc w:val="center"/>
              <w:rPr>
                <w:b/>
                <w:sz w:val="20"/>
              </w:rPr>
            </w:pPr>
            <w:r>
              <w:rPr>
                <w:b/>
                <w:sz w:val="20"/>
              </w:rPr>
              <w:t xml:space="preserve">Transaction </w:t>
              <w:br/>
              <w:t>Accounting</w:t>
              <w:br/>
              <w:t>Adjustments</w:t>
            </w:r>
          </w:p>
        </w:tc>
        <w:tc>
          <w:tcPr>
            <w:tcW w:w="95" w:type="dxa"/>
            <w:tcBorders/>
            <w:tcMar>
              <w:bottom w:w="0" w:type="dxa"/>
            </w:tcMar>
            <w:vAlign w:val="center"/>
          </w:tcPr>
          <w:p>
            <w:pPr>
              <w:pStyle w:val="TableContents"/>
              <w:bidi w:val="0"/>
              <w:spacing w:before="0" w:after="283"/>
              <w:jc w:val="center"/>
              <w:rPr/>
            </w:pPr>
            <w:r>
              <w:rPr/>
              <w:t> </w:t>
            </w:r>
          </w:p>
        </w:tc>
      </w:tr>
      <w:tr>
        <w:trPr/>
        <w:tc>
          <w:tcPr>
            <w:tcW w:w="2135" w:type="dxa"/>
            <w:tcBorders/>
            <w:shd w:fill="CCEEFF" w:val="clear"/>
            <w:tcMar>
              <w:bottom w:w="0" w:type="dxa"/>
            </w:tcMar>
            <w:vAlign w:val="center"/>
          </w:tcPr>
          <w:p>
            <w:pPr>
              <w:pStyle w:val="TableContents"/>
              <w:bidi w:val="0"/>
              <w:spacing w:before="0" w:after="283"/>
              <w:jc w:val="left"/>
              <w:rPr>
                <w:sz w:val="20"/>
              </w:rPr>
            </w:pPr>
            <w:r>
              <w:rPr>
                <w:sz w:val="20"/>
              </w:rPr>
              <w:t>Deferred acquisition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3" w:type="dxa"/>
            <w:tcBorders/>
            <w:shd w:fill="CCEEFF" w:val="clear"/>
            <w:tcMar>
              <w:bottom w:w="0" w:type="dxa"/>
            </w:tcMar>
            <w:vAlign w:val="center"/>
          </w:tcPr>
          <w:p>
            <w:pPr>
              <w:pStyle w:val="TableContents"/>
              <w:bidi w:val="0"/>
              <w:spacing w:before="0" w:after="283"/>
              <w:jc w:val="left"/>
              <w:rPr>
                <w:sz w:val="20"/>
              </w:rPr>
            </w:pPr>
            <w:r>
              <w:rPr>
                <w:sz w:val="20"/>
              </w:rPr>
              <w:t>$</w:t>
            </w:r>
          </w:p>
        </w:tc>
        <w:tc>
          <w:tcPr>
            <w:tcW w:w="1021" w:type="dxa"/>
            <w:tcBorders/>
            <w:shd w:fill="CCEEFF" w:val="clear"/>
            <w:tcMar>
              <w:bottom w:w="0" w:type="dxa"/>
            </w:tcMar>
            <w:vAlign w:val="center"/>
          </w:tcPr>
          <w:p>
            <w:pPr>
              <w:pStyle w:val="TableContents"/>
              <w:bidi w:val="0"/>
              <w:spacing w:before="0" w:after="283"/>
              <w:jc w:val="right"/>
              <w:rPr>
                <w:sz w:val="20"/>
              </w:rPr>
            </w:pPr>
            <w:r>
              <w:rPr>
                <w:sz w:val="20"/>
              </w:rPr>
              <w:t>168,745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86" w:type="dxa"/>
            <w:tcBorders/>
            <w:shd w:fill="CCEEFF" w:val="clear"/>
            <w:tcMar>
              <w:bottom w:w="0" w:type="dxa"/>
            </w:tcMar>
            <w:vAlign w:val="center"/>
          </w:tcPr>
          <w:p>
            <w:pPr>
              <w:pStyle w:val="TableContents"/>
              <w:bidi w:val="0"/>
              <w:spacing w:before="0" w:after="283"/>
              <w:jc w:val="left"/>
              <w:rPr>
                <w:sz w:val="20"/>
              </w:rPr>
            </w:pPr>
            <w:r>
              <w:rPr>
                <w:sz w:val="20"/>
              </w:rPr>
              <w:t>$</w:t>
            </w:r>
          </w:p>
        </w:tc>
        <w:tc>
          <w:tcPr>
            <w:tcW w:w="378" w:type="dxa"/>
            <w:tcBorders/>
            <w:shd w:fill="CCEEFF" w:val="clear"/>
            <w:tcMar>
              <w:bottom w:w="0" w:type="dxa"/>
            </w:tcMar>
            <w:vAlign w:val="center"/>
          </w:tcPr>
          <w:p>
            <w:pPr>
              <w:pStyle w:val="TableContents"/>
              <w:bidi w:val="0"/>
              <w:spacing w:before="0" w:after="283"/>
              <w:jc w:val="right"/>
              <w:rPr>
                <w:sz w:val="20"/>
              </w:rPr>
            </w:pPr>
            <w:r>
              <w:rPr>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sz w:val="20"/>
              </w:rPr>
            </w:pPr>
            <w:r>
              <w:rPr>
                <w:sz w:val="20"/>
              </w:rPr>
              <w:t>$</w:t>
            </w:r>
          </w:p>
        </w:tc>
        <w:tc>
          <w:tcPr>
            <w:tcW w:w="944" w:type="dxa"/>
            <w:tcBorders/>
            <w:shd w:fill="CCEEFF" w:val="clear"/>
            <w:tcMar>
              <w:bottom w:w="0" w:type="dxa"/>
            </w:tcMar>
            <w:vAlign w:val="center"/>
          </w:tcPr>
          <w:p>
            <w:pPr>
              <w:pStyle w:val="TableContents"/>
              <w:bidi w:val="0"/>
              <w:spacing w:before="0" w:after="283"/>
              <w:jc w:val="right"/>
              <w:rPr>
                <w:sz w:val="20"/>
              </w:rPr>
            </w:pPr>
            <w:r>
              <w:rPr>
                <w:sz w:val="20"/>
              </w:rPr>
              <w:t>(168,745</w:t>
            </w:r>
          </w:p>
        </w:tc>
        <w:tc>
          <w:tcPr>
            <w:tcW w:w="95" w:type="dxa"/>
            <w:tcBorders/>
            <w:shd w:fill="CCEEFF" w:val="clear"/>
            <w:tcMar>
              <w:bottom w:w="0" w:type="dxa"/>
            </w:tcMar>
            <w:vAlign w:val="center"/>
          </w:tcPr>
          <w:p>
            <w:pPr>
              <w:pStyle w:val="TableContents"/>
              <w:bidi w:val="0"/>
              <w:spacing w:before="0" w:after="283"/>
              <w:jc w:val="left"/>
              <w:rPr>
                <w:sz w:val="20"/>
              </w:rPr>
            </w:pPr>
            <w:r>
              <w:rPr>
                <w:sz w:val="20"/>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57"/>
        <w:gridCol w:w="9910"/>
      </w:tblGrid>
      <w:tr>
        <w:trPr/>
        <w:tc>
          <w:tcPr>
            <w:tcW w:w="3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(7)</w:t>
            </w:r>
          </w:p>
        </w:tc>
        <w:tc>
          <w:tcPr>
            <w:tcW w:w="9910" w:type="dxa"/>
            <w:tcBorders/>
            <w:vAlign w:val="center"/>
          </w:tcPr>
          <w:p>
            <w:pPr>
              <w:pStyle w:val="TableContents"/>
              <w:bidi w:val="0"/>
              <w:spacing w:before="0" w:after="283"/>
              <w:jc w:val="left"/>
              <w:rPr/>
            </w:pPr>
            <w:r>
              <w:rPr/>
              <w:t>Reflects a $9.2 million reduction in other liabilities for transaction-related costs accrued as of March 31, 2026, that we expect to be paid on the closing of the Acquisition.</w:t>
            </w:r>
          </w:p>
        </w:tc>
      </w:tr>
    </w:tbl>
    <w:p>
      <w:pPr>
        <w:pStyle w:val="TextBody"/>
        <w:bidi w:val="0"/>
        <w:spacing w:before="0" w:after="0"/>
        <w:ind w:left="0" w:right="0" w:hanging="0"/>
        <w:jc w:val="left"/>
        <w:rPr>
          <w:caps w:val="false"/>
          <w:smallCaps w:val="false"/>
        </w:rPr>
      </w:pPr>
      <w:r>
        <w:rPr>
          <w:caps w:val="false"/>
          <w:smallCaps w:val="false"/>
        </w:rPr>
        <w:t> </w:t>
      </w:r>
    </w:p>
    <w:tbl>
      <w:tblPr>
        <w:tblW w:w="5323" w:type="dxa"/>
        <w:jc w:val="left"/>
        <w:tblInd w:w="0" w:type="dxa"/>
        <w:tblLayout w:type="fixed"/>
        <w:tblCellMar>
          <w:top w:w="0" w:type="dxa"/>
          <w:left w:w="0" w:type="dxa"/>
          <w:bottom w:w="0" w:type="dxa"/>
          <w:right w:w="0" w:type="dxa"/>
        </w:tblCellMar>
      </w:tblPr>
      <w:tblGrid>
        <w:gridCol w:w="1655"/>
        <w:gridCol w:w="60"/>
        <w:gridCol w:w="155"/>
        <w:gridCol w:w="1049"/>
        <w:gridCol w:w="60"/>
        <w:gridCol w:w="60"/>
        <w:gridCol w:w="125"/>
        <w:gridCol w:w="845"/>
        <w:gridCol w:w="60"/>
        <w:gridCol w:w="60"/>
        <w:gridCol w:w="204"/>
        <w:gridCol w:w="895"/>
        <w:gridCol w:w="95"/>
      </w:tblGrid>
      <w:tr>
        <w:trPr/>
        <w:tc>
          <w:tcPr>
            <w:tcW w:w="1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 Net</w:t>
              <w:br/>
              <w:t>Book Value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Transaction </w:t>
              <w:br/>
              <w:t>Accounting</w:t>
              <w:br/>
              <w:t>Adjustments</w:t>
            </w:r>
          </w:p>
        </w:tc>
        <w:tc>
          <w:tcPr>
            <w:tcW w:w="95" w:type="dxa"/>
            <w:tcBorders/>
            <w:vAlign w:val="center"/>
          </w:tcPr>
          <w:p>
            <w:pPr>
              <w:pStyle w:val="TableContents"/>
              <w:bidi w:val="0"/>
              <w:spacing w:before="0" w:after="283"/>
              <w:jc w:val="center"/>
              <w:rPr/>
            </w:pPr>
            <w:r>
              <w:rPr/>
              <w:t> </w:t>
            </w:r>
          </w:p>
        </w:tc>
      </w:tr>
      <w:tr>
        <w:trPr/>
        <w:tc>
          <w:tcPr>
            <w:tcW w:w="1655" w:type="dxa"/>
            <w:tcBorders/>
            <w:shd w:fill="CCEEFF" w:val="clear"/>
            <w:vAlign w:val="center"/>
          </w:tcPr>
          <w:p>
            <w:pPr>
              <w:pStyle w:val="TableContents"/>
              <w:bidi w:val="0"/>
              <w:spacing w:before="0" w:after="283"/>
              <w:jc w:val="left"/>
              <w:rPr>
                <w:sz w:val="20"/>
              </w:rPr>
            </w:pPr>
            <w:r>
              <w:rPr>
                <w:sz w:val="20"/>
              </w:rPr>
              <w:t>Other liabilities, net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sz w:val="20"/>
              </w:rPr>
            </w:pPr>
            <w:r>
              <w:rPr>
                <w:sz w:val="20"/>
              </w:rPr>
              <w:t>$</w:t>
            </w:r>
          </w:p>
        </w:tc>
        <w:tc>
          <w:tcPr>
            <w:tcW w:w="1049" w:type="dxa"/>
            <w:tcBorders/>
            <w:shd w:fill="CCEEFF" w:val="clear"/>
            <w:vAlign w:val="center"/>
          </w:tcPr>
          <w:p>
            <w:pPr>
              <w:pStyle w:val="TableContents"/>
              <w:bidi w:val="0"/>
              <w:spacing w:before="0" w:after="283"/>
              <w:jc w:val="right"/>
              <w:rPr>
                <w:sz w:val="20"/>
              </w:rPr>
            </w:pPr>
            <w:r>
              <w:rPr>
                <w:sz w:val="20"/>
              </w:rPr>
              <w:t>1,760,497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1,751,297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sz w:val="20"/>
              </w:rPr>
            </w:pPr>
            <w:r>
              <w:rPr>
                <w:sz w:val="20"/>
              </w:rPr>
              <w:t>$</w:t>
            </w:r>
          </w:p>
        </w:tc>
        <w:tc>
          <w:tcPr>
            <w:tcW w:w="895" w:type="dxa"/>
            <w:tcBorders/>
            <w:shd w:fill="CCEEFF" w:val="clear"/>
            <w:vAlign w:val="center"/>
          </w:tcPr>
          <w:p>
            <w:pPr>
              <w:pStyle w:val="TableContents"/>
              <w:bidi w:val="0"/>
              <w:spacing w:before="0" w:after="283"/>
              <w:jc w:val="right"/>
              <w:rPr>
                <w:sz w:val="20"/>
              </w:rPr>
            </w:pPr>
            <w:r>
              <w:rPr>
                <w:sz w:val="20"/>
              </w:rPr>
              <w:t>(9,200</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(8)</w:t>
            </w:r>
          </w:p>
        </w:tc>
        <w:tc>
          <w:tcPr>
            <w:tcW w:w="9907" w:type="dxa"/>
            <w:tcBorders/>
            <w:vAlign w:val="center"/>
          </w:tcPr>
          <w:p>
            <w:pPr>
              <w:pStyle w:val="TableContents"/>
              <w:bidi w:val="0"/>
              <w:spacing w:before="0" w:after="283"/>
              <w:jc w:val="left"/>
              <w:rPr/>
            </w:pPr>
            <w:r>
              <w:rPr/>
              <w:t>This adjustment reflects (i) the elimination of Vantage’s historical equity and (ii) a reduction for estimated non-recurring transaction-related costs of $16.4 million.</w:t>
            </w:r>
          </w:p>
        </w:tc>
      </w:tr>
    </w:tbl>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3980"/>
        <w:gridCol w:w="60"/>
        <w:gridCol w:w="155"/>
        <w:gridCol w:w="1049"/>
        <w:gridCol w:w="80"/>
        <w:gridCol w:w="60"/>
        <w:gridCol w:w="125"/>
        <w:gridCol w:w="845"/>
        <w:gridCol w:w="80"/>
        <w:gridCol w:w="60"/>
        <w:gridCol w:w="128"/>
        <w:gridCol w:w="927"/>
        <w:gridCol w:w="95"/>
      </w:tblGrid>
      <w:tr>
        <w:trPr/>
        <w:tc>
          <w:tcPr>
            <w:tcW w:w="3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Historical Net</w:t>
              <w:br/>
              <w:t>Book Value</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Pro Forma</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Transaction</w:t>
              <w:br/>
              <w:t>Accounting</w:t>
              <w:br/>
              <w:t>Adjustments</w:t>
            </w:r>
          </w:p>
        </w:tc>
        <w:tc>
          <w:tcPr>
            <w:tcW w:w="95" w:type="dxa"/>
            <w:tcBorders/>
            <w:vAlign w:val="center"/>
          </w:tcPr>
          <w:p>
            <w:pPr>
              <w:pStyle w:val="TableContents"/>
              <w:bidi w:val="0"/>
              <w:spacing w:before="0" w:after="283"/>
              <w:ind w:left="0" w:right="0" w:hanging="158"/>
              <w:jc w:val="center"/>
              <w:rPr/>
            </w:pPr>
            <w:r>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1,237,327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95" w:type="dxa"/>
            <w:tcBorders/>
            <w:shd w:fill="CCEEFF" w:val="clear"/>
            <w:vAlign w:val="center"/>
          </w:tcPr>
          <w:p>
            <w:pPr>
              <w:pStyle w:val="TableContents"/>
              <w:bidi w:val="0"/>
              <w:spacing w:before="0" w:after="283"/>
              <w:ind w:left="0" w:right="0" w:hanging="15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4,507,350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4,462,910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95" w:type="dxa"/>
            <w:tcBorders/>
            <w:shd w:fill="FFFFFF" w:val="clear"/>
            <w:vAlign w:val="center"/>
          </w:tcPr>
          <w:p>
            <w:pPr>
              <w:pStyle w:val="TableContents"/>
              <w:bidi w:val="0"/>
              <w:spacing w:before="0" w:after="283"/>
              <w:ind w:left="0" w:right="0" w:hanging="15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(accumulated deficit)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105,576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(70,272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(175,848</w:t>
            </w:r>
          </w:p>
        </w:tc>
        <w:tc>
          <w:tcPr>
            <w:tcW w:w="95" w:type="dxa"/>
            <w:tcBorders/>
            <w:shd w:fill="CCEEFF" w:val="clear"/>
            <w:vAlign w:val="center"/>
          </w:tcPr>
          <w:p>
            <w:pPr>
              <w:pStyle w:val="TableContents"/>
              <w:bidi w:val="0"/>
              <w:spacing w:before="0" w:after="283"/>
              <w:ind w:left="0" w:right="0" w:hanging="158"/>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95" w:type="dxa"/>
            <w:tcBorders/>
            <w:shd w:fill="FFFFFF" w:val="clear"/>
            <w:vAlign w:val="center"/>
          </w:tcPr>
          <w:p>
            <w:pPr>
              <w:pStyle w:val="TableContents"/>
              <w:bidi w:val="0"/>
              <w:spacing w:before="0" w:after="283"/>
              <w:ind w:left="0" w:right="0" w:hanging="158"/>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(624,521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ind w:left="0" w:right="0" w:hanging="158"/>
              <w:jc w:val="left"/>
              <w:rPr>
                <w:caps w:val="false"/>
                <w:smallCaps w:val="false"/>
              </w:rPr>
            </w:pPr>
            <w:r>
              <w:rPr>
                <w:caps w:val="false"/>
                <w:smallCaps w:val="false"/>
              </w:rPr>
              <w:t> </w:t>
            </w:r>
          </w:p>
        </w:tc>
      </w:tr>
      <w:tr>
        <w:trPr/>
        <w:tc>
          <w:tcPr>
            <w:tcW w:w="39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74,805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8"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ind w:left="0" w:right="0" w:hanging="158"/>
              <w:jc w:val="left"/>
              <w:rPr>
                <w:caps w:val="false"/>
                <w:smallCaps w:val="false"/>
              </w:rPr>
            </w:pPr>
            <w:r>
              <w:rPr>
                <w:caps w:val="false"/>
                <w:smallCaps w:val="false"/>
              </w:rPr>
              <w:t> </w:t>
            </w:r>
          </w:p>
        </w:tc>
      </w:tr>
      <w:tr>
        <w:trPr/>
        <w:tc>
          <w:tcPr>
            <w:tcW w:w="39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tab/>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049"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5,290,333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3,841,203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9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(1,449,130</w:t>
            </w:r>
          </w:p>
        </w:tc>
        <w:tc>
          <w:tcPr>
            <w:tcW w:w="95"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Pro Forma Condensed Combined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283"/>
              <w:jc w:val="left"/>
              <w:rPr/>
            </w:pPr>
            <w:r>
              <w:rPr/>
              <w:t>Reflects the estimated amortization expense based on the preliminary estimates of fair value and useful lives of identified, finite-lived intangible assets. See note (4) to the unaudited pro forma condensed combined balance sheet.</w:t>
            </w:r>
          </w:p>
        </w:tc>
      </w:tr>
    </w:tbl>
    <w:p>
      <w:pPr>
        <w:pStyle w:val="TextBody"/>
        <w:bidi w:val="0"/>
        <w:spacing w:before="0" w:after="0"/>
        <w:ind w:left="0" w:right="0" w:hanging="0"/>
        <w:jc w:val="left"/>
        <w:rPr>
          <w:caps w:val="false"/>
          <w:smallCaps w:val="false"/>
        </w:rPr>
      </w:pPr>
      <w:r>
        <w:rPr>
          <w:caps w:val="false"/>
          <w:smallCaps w:val="false"/>
        </w:rPr>
        <w:t> </w:t>
      </w:r>
    </w:p>
    <w:tbl>
      <w:tblPr>
        <w:tblW w:w="8108" w:type="dxa"/>
        <w:jc w:val="left"/>
        <w:tblInd w:w="0" w:type="dxa"/>
        <w:tblLayout w:type="fixed"/>
        <w:tblCellMar>
          <w:top w:w="0" w:type="dxa"/>
          <w:left w:w="0" w:type="dxa"/>
          <w:bottom w:w="0" w:type="dxa"/>
          <w:right w:w="0" w:type="dxa"/>
        </w:tblCellMar>
      </w:tblPr>
      <w:tblGrid>
        <w:gridCol w:w="3470"/>
        <w:gridCol w:w="60"/>
        <w:gridCol w:w="139"/>
        <w:gridCol w:w="780"/>
        <w:gridCol w:w="60"/>
        <w:gridCol w:w="60"/>
        <w:gridCol w:w="60"/>
        <w:gridCol w:w="815"/>
        <w:gridCol w:w="60"/>
        <w:gridCol w:w="60"/>
        <w:gridCol w:w="1205"/>
        <w:gridCol w:w="60"/>
        <w:gridCol w:w="209"/>
        <w:gridCol w:w="995"/>
        <w:gridCol w:w="75"/>
      </w:tblGrid>
      <w:tr>
        <w:trPr/>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Estimated </w:t>
              <w:br/>
              <w:t xml:space="preserve">Fair </w:t>
              <w:br/>
              <w:t>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Estimated</w:t>
              <w:br/>
              <w:t>Useful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Life</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Amortization </w:t>
              <w:br/>
              <w:t>Method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Annual </w:t>
              <w:br/>
              <w:t xml:space="preserve">Amortization </w:t>
              <w:br/>
              <w:t>Expense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relationships - insurance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 Line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relationships - reinsurance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 Line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Tradename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 Line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licenses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Indefinite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Internally developed and used technology</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Straight Line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4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effects of the adjustments to amortization expense included in depreciation &amp; amortization is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64"/>
        <w:gridCol w:w="60"/>
        <w:gridCol w:w="333"/>
        <w:gridCol w:w="1459"/>
        <w:gridCol w:w="80"/>
        <w:gridCol w:w="60"/>
        <w:gridCol w:w="287"/>
        <w:gridCol w:w="1364"/>
        <w:gridCol w:w="98"/>
      </w:tblGrid>
      <w:tr>
        <w:trPr/>
        <w:tc>
          <w:tcPr>
            <w:tcW w:w="646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9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w:t>
              <w:br/>
              <w:t>Ended 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br/>
              <w:t>December 31,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46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amortization of finite lived assets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16,584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464" w:type="dxa"/>
            <w:tcBorders/>
            <w:shd w:fill="FFFFFF" w:val="clear"/>
            <w:vAlign w:val="center"/>
          </w:tcPr>
          <w:p>
            <w:pPr>
              <w:pStyle w:val="TableContents"/>
              <w:bidi w:val="0"/>
              <w:spacing w:before="0" w:after="283"/>
              <w:jc w:val="left"/>
              <w:rPr>
                <w:sz w:val="20"/>
              </w:rPr>
            </w:pPr>
            <w:r>
              <w:rPr>
                <w:sz w:val="20"/>
              </w:rPr>
              <w:t>Elimination of historical amortization expense included in depreciation &amp; amortization</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(8,375</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46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accounting adjustments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5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8,209</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283"/>
              <w:jc w:val="left"/>
              <w:rPr/>
            </w:pPr>
            <w:r>
              <w:rPr/>
              <w:t>The following table represents adjustments to Insurance underwriting expenses for the year ended December 31, 2025, reflecting (i) the elimination of Vantage’s historical amortization of deferred acquisition costs of $94.5 million and (ii) the inclusion of $268.2 million of amortization related to valuation of business acquired (“VOBA”), resulting in a pro forma net increase of $173.8 million. For the three months ended March 31, 2026, the adjustment to Insurance underwriting expenses reflects only $6.7 million of VOBA amortization. As historical deferred acquisition costs were treated as fully amortized during 2025, there is no deferred acquisition cost adjustment for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579"/>
        <w:gridCol w:w="60"/>
        <w:gridCol w:w="356"/>
        <w:gridCol w:w="1388"/>
        <w:gridCol w:w="60"/>
        <w:gridCol w:w="60"/>
        <w:gridCol w:w="247"/>
        <w:gridCol w:w="1378"/>
        <w:gridCol w:w="77"/>
      </w:tblGrid>
      <w:tr>
        <w:trPr/>
        <w:tc>
          <w:tcPr>
            <w:tcW w:w="65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w:t>
              <w:br/>
              <w:t>Ended 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br/>
              <w:t>December 31, 2025</w:t>
            </w:r>
          </w:p>
        </w:tc>
        <w:tc>
          <w:tcPr>
            <w:tcW w:w="7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5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 related to deferred acquisition costs and VOBA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8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6,705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173,750</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(3)</w:t>
            </w:r>
          </w:p>
        </w:tc>
        <w:tc>
          <w:tcPr>
            <w:tcW w:w="9938" w:type="dxa"/>
            <w:tcBorders/>
            <w:vAlign w:val="center"/>
          </w:tcPr>
          <w:p>
            <w:pPr>
              <w:pStyle w:val="TableContents"/>
              <w:bidi w:val="0"/>
              <w:spacing w:before="0" w:after="283"/>
              <w:jc w:val="left"/>
              <w:rPr/>
            </w:pPr>
            <w:r>
              <w:rPr/>
              <w:t>Represents unrecorded transaction costs of $16.4 million. See notes (7) and (8) to the unaudited pro forma condensed combined balance sheet for a discussion of transaction costs. The transaction costs are reflected in (i) stockholders’ equity in the pro forma balance sheet as of March 31, 2026, and (ii) general and administrative expenses in the pro forma income statement for the year ended December 31, 2025. These transaction costs will not recur beyond 12 months after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9028" w:type="dxa"/>
        <w:jc w:val="left"/>
        <w:tblInd w:w="0" w:type="dxa"/>
        <w:tblLayout w:type="fixed"/>
        <w:tblCellMar>
          <w:top w:w="0" w:type="dxa"/>
          <w:left w:w="0" w:type="dxa"/>
          <w:bottom w:w="0" w:type="dxa"/>
          <w:right w:w="0" w:type="dxa"/>
        </w:tblCellMar>
      </w:tblPr>
      <w:tblGrid>
        <w:gridCol w:w="5105"/>
        <w:gridCol w:w="60"/>
        <w:gridCol w:w="1181"/>
        <w:gridCol w:w="758"/>
        <w:gridCol w:w="60"/>
        <w:gridCol w:w="60"/>
        <w:gridCol w:w="301"/>
        <w:gridCol w:w="1428"/>
        <w:gridCol w:w="75"/>
      </w:tblGrid>
      <w:tr>
        <w:trPr/>
        <w:tc>
          <w:tcPr>
            <w:tcW w:w="51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w:t>
              <w:br/>
              <w:t>Ended 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b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1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adjustment related to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16,402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(4)</w:t>
            </w:r>
          </w:p>
        </w:tc>
        <w:tc>
          <w:tcPr>
            <w:tcW w:w="9943" w:type="dxa"/>
            <w:tcBorders/>
            <w:vAlign w:val="center"/>
          </w:tcPr>
          <w:p>
            <w:pPr>
              <w:pStyle w:val="TableContents"/>
              <w:bidi w:val="0"/>
              <w:spacing w:before="0" w:after="283"/>
              <w:jc w:val="left"/>
              <w:rPr/>
            </w:pPr>
            <w:r>
              <w:rPr/>
              <w:t>Reflects an adjustment to income taxes due to the pro forma adjustments calculated by applying the U.S. statutory tax rate. Because the tax rate used for these unaudited pro forma condensed combined financial statements is not reflective of the planned tax structure post-Acquisition, it will likely vary from the actual rate in periods subsequent to the Transactions and such variance may be material. In addition, the pro forma income tax benefit is preliminary, is based on estimates and assumptions that are subject to change, and further analysis subsequent to the consummation of the Acquisition could materially affect the income tax expense or benefit associated with the Transactions.</w:t>
            </w:r>
          </w:p>
        </w:tc>
      </w:tr>
    </w:tbl>
    <w:p>
      <w:pPr>
        <w:pStyle w:val="TextBody"/>
        <w:bidi w:val="0"/>
        <w:spacing w:before="0" w:after="0"/>
        <w:ind w:left="0" w:right="0" w:hanging="0"/>
        <w:jc w:val="left"/>
        <w:rPr>
          <w:caps w:val="false"/>
          <w:smallCaps w:val="false"/>
        </w:rPr>
      </w:pPr>
      <w:r>
        <w:rPr>
          <w:caps w:val="false"/>
          <w:smallCaps w:val="false"/>
        </w:rPr>
        <w:t> </w:t>
      </w:r>
    </w:p>
    <w:tbl>
      <w:tblPr>
        <w:tblW w:w="8273" w:type="dxa"/>
        <w:jc w:val="left"/>
        <w:tblInd w:w="0" w:type="dxa"/>
        <w:tblLayout w:type="fixed"/>
        <w:tblCellMar>
          <w:top w:w="0" w:type="dxa"/>
          <w:left w:w="0" w:type="dxa"/>
          <w:bottom w:w="0" w:type="dxa"/>
          <w:right w:w="0" w:type="dxa"/>
        </w:tblCellMar>
      </w:tblPr>
      <w:tblGrid>
        <w:gridCol w:w="4145"/>
        <w:gridCol w:w="60"/>
        <w:gridCol w:w="312"/>
        <w:gridCol w:w="1627"/>
        <w:gridCol w:w="185"/>
        <w:gridCol w:w="60"/>
        <w:gridCol w:w="239"/>
        <w:gridCol w:w="1445"/>
        <w:gridCol w:w="200"/>
      </w:tblGrid>
      <w:tr>
        <w:trPr/>
        <w:tc>
          <w:tcPr>
            <w:tcW w:w="41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w:t>
              <w:br/>
              <w:t>Ended March 31, 2026</w:t>
            </w:r>
          </w:p>
        </w:tc>
        <w:tc>
          <w:tcPr>
            <w:tcW w:w="1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w:t>
              <w:br/>
              <w:t>December 31, 2025</w:t>
            </w:r>
          </w:p>
        </w:tc>
        <w:tc>
          <w:tcPr>
            <w:tcW w:w="200" w:type="dxa"/>
            <w:tcBorders/>
            <w:vAlign w:val="center"/>
          </w:tcPr>
          <w:p>
            <w:pPr>
              <w:pStyle w:val="TableContents"/>
              <w:bidi w:val="0"/>
              <w:spacing w:before="0" w:after="283"/>
              <w:ind w:left="0" w:right="0" w:hanging="144"/>
              <w:jc w:val="center"/>
              <w:rPr/>
            </w:pPr>
            <w:r>
              <w:rPr/>
              <w:t> </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accounting and financing adjustments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2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(11,442</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(206,929</w:t>
            </w:r>
          </w:p>
        </w:tc>
        <w:tc>
          <w:tcPr>
            <w:tcW w:w="200" w:type="dxa"/>
            <w:tcBorders/>
            <w:shd w:fill="CCEE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tax rate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2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200" w:type="dxa"/>
            <w:tcBorders/>
            <w:shd w:fill="FFFFFF" w:val="clear"/>
            <w:vAlign w:val="center"/>
          </w:tcPr>
          <w:p>
            <w:pPr>
              <w:pStyle w:val="TableContents"/>
              <w:bidi w:val="0"/>
              <w:spacing w:before="0" w:after="283"/>
              <w:ind w:left="0" w:right="0" w:hanging="144"/>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accounting adjustments</w:t>
              <w:tab/>
            </w:r>
          </w:p>
        </w:tc>
        <w:tc>
          <w:tcPr>
            <w:tcW w:w="60" w:type="dxa"/>
            <w:tcBorders/>
            <w:shd w:fill="CCEEFF" w:val="clear"/>
            <w:vAlign w:val="center"/>
          </w:tcPr>
          <w:p>
            <w:pPr>
              <w:pStyle w:val="TableContents"/>
              <w:bidi w:val="0"/>
              <w:spacing w:before="0" w:after="283"/>
              <w:jc w:val="left"/>
              <w:rPr/>
            </w:pPr>
            <w:r>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627"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(2,403</w:t>
            </w:r>
          </w:p>
        </w:tc>
        <w:tc>
          <w:tcPr>
            <w:tcW w:w="185"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239"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14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(43,455</w:t>
            </w:r>
          </w:p>
        </w:tc>
        <w:tc>
          <w:tcPr>
            <w:tcW w:w="200" w:type="dxa"/>
            <w:tcBorders/>
            <w:shd w:fill="CCEEFF" w:val="clear"/>
            <w:vAlign w:val="center"/>
          </w:tcPr>
          <w:p>
            <w:pPr>
              <w:pStyle w:val="TableContents"/>
              <w:bidi w:val="0"/>
              <w:spacing w:before="0" w:after="283"/>
              <w:jc w:val="left"/>
              <w:rPr>
                <w:sz w:val="20"/>
              </w:rPr>
            </w:pPr>
            <w:r>
              <w:rPr>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(5)</w:t>
            </w:r>
          </w:p>
        </w:tc>
        <w:tc>
          <w:tcPr>
            <w:tcW w:w="9928" w:type="dxa"/>
            <w:tcBorders/>
            <w:vAlign w:val="center"/>
          </w:tcPr>
          <w:p>
            <w:pPr>
              <w:pStyle w:val="TableContents"/>
              <w:bidi w:val="0"/>
              <w:spacing w:before="0" w:after="283"/>
              <w:jc w:val="left"/>
              <w:rPr/>
            </w:pPr>
            <w:r>
              <w:rPr/>
              <w:t>Represents an adjustment to amortize the difference between the estimated fair value and historical value of the “Reserves for claims and claim expenses” and “Reinsurance recoverable on paid and unpaid losses”. The difference is amortized over the estimated payout period of the underlying claims.</w:t>
            </w:r>
          </w:p>
        </w:tc>
      </w:tr>
    </w:tbl>
    <w:p>
      <w:pPr>
        <w:pStyle w:val="TextBody"/>
        <w:bidi w:val="0"/>
        <w:spacing w:before="0" w:after="0"/>
        <w:ind w:left="0" w:right="0" w:hanging="0"/>
        <w:jc w:val="left"/>
        <w:rPr>
          <w:caps w:val="false"/>
          <w:smallCaps w:val="false"/>
        </w:rPr>
      </w:pPr>
      <w:r>
        <w:rPr>
          <w:caps w:val="false"/>
          <w:smallCaps w:val="false"/>
        </w:rPr>
        <w:t>  </w:t>
      </w:r>
    </w:p>
    <w:tbl>
      <w:tblPr>
        <w:tblW w:w="8138" w:type="dxa"/>
        <w:jc w:val="left"/>
        <w:tblInd w:w="0" w:type="dxa"/>
        <w:tblLayout w:type="fixed"/>
        <w:tblCellMar>
          <w:top w:w="0" w:type="dxa"/>
          <w:left w:w="0" w:type="dxa"/>
          <w:bottom w:w="0" w:type="dxa"/>
          <w:right w:w="0" w:type="dxa"/>
        </w:tblCellMar>
      </w:tblPr>
      <w:tblGrid>
        <w:gridCol w:w="4175"/>
        <w:gridCol w:w="60"/>
        <w:gridCol w:w="396"/>
        <w:gridCol w:w="1543"/>
        <w:gridCol w:w="80"/>
        <w:gridCol w:w="60"/>
        <w:gridCol w:w="301"/>
        <w:gridCol w:w="1428"/>
        <w:gridCol w:w="95"/>
      </w:tblGrid>
      <w:tr>
        <w:trPr/>
        <w:tc>
          <w:tcPr>
            <w:tcW w:w="4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Three Months </w:t>
              <w:br/>
              <w:t>Ended 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2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Year Ended </w:t>
              <w:b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11,706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4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7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accounting adjustments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4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8,568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(6)</w:t>
            </w:r>
          </w:p>
        </w:tc>
        <w:tc>
          <w:tcPr>
            <w:tcW w:w="9946" w:type="dxa"/>
            <w:tcBorders/>
            <w:vAlign w:val="center"/>
          </w:tcPr>
          <w:p>
            <w:pPr>
              <w:pStyle w:val="TableContents"/>
              <w:bidi w:val="0"/>
              <w:spacing w:before="0" w:after="283"/>
              <w:jc w:val="left"/>
              <w:rPr/>
            </w:pPr>
            <w:r>
              <w:rPr/>
              <w:t>Basic earnings (loss) per share (EPS) is computed by dividing net income (loss) attributable to common stockholders by the weighted-average number of common shares outstanding. Diluted EPS is computed after adjusting the numerator and denominator of the basic EPS computation for the effects of all potentially dilutive common shares. The dilutive effect of options and non-vested restricted stock issued under stock-based compensation plans is computed using the treasury stock method. The redeemable preferred stock issued in connection with the transaction is not subject to mandatory or cumulative dividends or periodic accretion to its redemption amount during the periods presented. Because no dividends were declared or assumed to have been declared during the pro forma periods, no adjustment to income attributable to common shareholders or earnings per share is necessary in the accompanying unaudited pro forma condensed combined statements of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pro forma basic and diluted EPS (in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9193" w:type="dxa"/>
        <w:jc w:val="left"/>
        <w:tblInd w:w="0" w:type="dxa"/>
        <w:tblLayout w:type="fixed"/>
        <w:tblCellMar>
          <w:top w:w="0" w:type="dxa"/>
          <w:left w:w="0" w:type="dxa"/>
          <w:bottom w:w="0" w:type="dxa"/>
          <w:right w:w="0" w:type="dxa"/>
        </w:tblCellMar>
      </w:tblPr>
      <w:tblGrid>
        <w:gridCol w:w="5315"/>
        <w:gridCol w:w="60"/>
        <w:gridCol w:w="339"/>
        <w:gridCol w:w="1600"/>
        <w:gridCol w:w="60"/>
        <w:gridCol w:w="60"/>
        <w:gridCol w:w="256"/>
        <w:gridCol w:w="1428"/>
        <w:gridCol w:w="75"/>
      </w:tblGrid>
      <w:tr>
        <w:trPr/>
        <w:tc>
          <w:tcPr>
            <w:tcW w:w="53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3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Three Months</w:t>
              <w:br/>
              <w:t>Ended March 31, 2026</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Year Ended</w:t>
              <w:br/>
              <w:t>December 31, 2025</w:t>
            </w:r>
          </w:p>
        </w:tc>
        <w:tc>
          <w:tcPr>
            <w:tcW w:w="75" w:type="dxa"/>
            <w:tcBorders/>
            <w:vAlign w:val="center"/>
          </w:tcPr>
          <w:p>
            <w:pPr>
              <w:pStyle w:val="TableContents"/>
              <w:bidi w:val="0"/>
              <w:spacing w:before="0" w:after="283"/>
              <w:jc w:val="center"/>
              <w:rPr/>
            </w:pPr>
            <w:r>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income (loss) attributable to common stockholders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64,462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157,464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 basic</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58,973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and stock options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0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common shares outstanding – diluted</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59,154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56,046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income (loss) per share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Diluted income (loss) per share </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Unaudited Reclassified Condensed Balance Sheet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749"/>
        <w:gridCol w:w="60"/>
        <w:gridCol w:w="3059"/>
        <w:gridCol w:w="60"/>
        <w:gridCol w:w="125"/>
        <w:gridCol w:w="845"/>
        <w:gridCol w:w="80"/>
        <w:gridCol w:w="60"/>
        <w:gridCol w:w="192"/>
        <w:gridCol w:w="1163"/>
        <w:gridCol w:w="80"/>
        <w:gridCol w:w="606"/>
        <w:gridCol w:w="60"/>
        <w:gridCol w:w="125"/>
        <w:gridCol w:w="845"/>
        <w:gridCol w:w="96"/>
      </w:tblGrid>
      <w:tr>
        <w:trPr/>
        <w:tc>
          <w:tcPr>
            <w:tcW w:w="274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HHH Presentation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089"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Vantage Presentation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r>
          </w:p>
        </w:tc>
        <w:tc>
          <w:tcPr>
            <w:tcW w:w="8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tcMar>
              <w:bottom w:w="0" w:type="dxa"/>
            </w:tcMar>
            <w:vAlign w:val="center"/>
          </w:tcPr>
          <w:p>
            <w:pPr>
              <w:pStyle w:val="TableContents"/>
              <w:bidi w:val="0"/>
              <w:spacing w:before="0" w:after="283"/>
              <w:jc w:val="left"/>
              <w:rPr/>
            </w:pPr>
            <w:r>
              <w:rPr/>
              <w:t> </w:t>
            </w:r>
          </w:p>
        </w:tc>
        <w:tc>
          <w:tcPr>
            <w:tcW w:w="970" w:type="dxa"/>
            <w:gridSpan w:val="2"/>
            <w:tcBorders>
              <w:bottom w:val="single" w:sz="8" w:space="0" w:color="000000"/>
            </w:tcBorders>
            <w:vAlign w:val="center"/>
          </w:tcPr>
          <w:p>
            <w:pPr>
              <w:pStyle w:val="TableContents"/>
              <w:bidi w:val="0"/>
              <w:spacing w:before="0" w:after="283"/>
              <w:jc w:val="center"/>
              <w:rPr>
                <w:b/>
                <w:sz w:val="20"/>
              </w:rPr>
            </w:pPr>
            <w:r>
              <w:rPr>
                <w:b/>
                <w:sz w:val="20"/>
              </w:rPr>
              <w:t>Historical</w:t>
              <w:br/>
              <w:t xml:space="preserve">Vantage, </w:t>
              <w:br/>
              <w:t>Adjusted</w:t>
            </w:r>
          </w:p>
        </w:tc>
        <w:tc>
          <w:tcPr>
            <w:tcW w:w="96" w:type="dxa"/>
            <w:tcBorders/>
            <w:tcMar>
              <w:bottom w:w="0" w:type="dxa"/>
            </w:tcMar>
            <w:vAlign w:val="center"/>
          </w:tcPr>
          <w:p>
            <w:pPr>
              <w:pStyle w:val="TableContents"/>
              <w:bidi w:val="0"/>
              <w:spacing w:before="0" w:after="283"/>
              <w:jc w:val="left"/>
              <w:rPr/>
            </w:pPr>
            <w:r>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0"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gridSpan w:val="2"/>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0" w:type="dxa"/>
            <w:gridSpan w:val="2"/>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Investments in fixed maturity securities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Fixed maturity securities available for sale, at fair value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2,685,196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2,692,696</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maturity security held to maturity, at amortized cost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(7,500</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Short-term investments</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3059" w:type="dxa"/>
            <w:tcBorders/>
            <w:shd w:fill="FFFFFF" w:val="clear"/>
            <w:tcMar>
              <w:bottom w:w="0" w:type="dxa"/>
            </w:tcMar>
            <w:vAlign w:val="center"/>
          </w:tcPr>
          <w:p>
            <w:pPr>
              <w:pStyle w:val="TableContents"/>
              <w:bidi w:val="0"/>
              <w:spacing w:before="0" w:after="283"/>
              <w:jc w:val="left"/>
              <w:rPr>
                <w:sz w:val="20"/>
              </w:rPr>
            </w:pPr>
            <w:r>
              <w:rPr>
                <w:sz w:val="20"/>
              </w:rPr>
              <w:t>Short-term investments, at fair value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49,529</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investments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2,742,225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2,742,225</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296,844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296,844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14,443</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Premiums receivable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764,492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764,492</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Reinsurance recoverable on paid and unpaid losses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570,090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570,090</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expenses, net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acquisition costs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168,745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168,745</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Intangibles, net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25,089</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25,089</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investment income</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19,532</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(19,532</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Prepaid reinsurance premiums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397,671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(397,671</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Fee income receivable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41,326 </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(41,326</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9" w:type="dxa"/>
            <w:tcBorders/>
            <w:shd w:fill="CCEEFF" w:val="clear"/>
            <w:tcMar>
              <w:bottom w:w="0" w:type="dxa"/>
            </w:tcMar>
            <w:vAlign w:val="center"/>
          </w:tcPr>
          <w:p>
            <w:pPr>
              <w:pStyle w:val="TableContents"/>
              <w:bidi w:val="0"/>
              <w:spacing w:before="0" w:after="283"/>
              <w:jc w:val="left"/>
              <w:rPr>
                <w:sz w:val="20"/>
              </w:rPr>
            </w:pPr>
            <w:r>
              <w:rPr>
                <w:sz w:val="20"/>
              </w:rPr>
              <w:t>Funds held by third parties</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sz w:val="20"/>
              </w:rPr>
            </w:pPr>
            <w:r>
              <w:rPr>
                <w:sz w:val="20"/>
              </w:rPr>
              <w:t>61,372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sz w:val="20"/>
              </w:rPr>
            </w:pPr>
            <w:r>
              <w:rPr>
                <w:sz w:val="20"/>
              </w:rPr>
              <w:t>(61,372)</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center"/>
              <w:rPr>
                <w:sz w:val="20"/>
              </w:rPr>
            </w:pPr>
            <w:r>
              <w:rPr>
                <w:sz w:val="20"/>
              </w:rPr>
              <w:t>(f)</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 net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83,595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494,659</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578,254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 and equipment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pPr>
            <w:r>
              <w:rPr/>
              <w:t> </w:t>
            </w:r>
          </w:p>
        </w:tc>
        <w:tc>
          <w:tcPr>
            <w:tcW w:w="96" w:type="dxa"/>
            <w:tcBorders/>
            <w:shd w:fill="FFFFFF" w:val="clear"/>
            <w:tcMar>
              <w:bottom w:w="0" w:type="dxa"/>
            </w:tcMar>
            <w:vAlign w:val="center"/>
          </w:tcPr>
          <w:p>
            <w:pPr>
              <w:pStyle w:val="TableContents"/>
              <w:bidi w:val="0"/>
              <w:spacing w:before="0" w:after="283"/>
              <w:jc w:val="left"/>
              <w:rPr/>
            </w:pPr>
            <w:r>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Reserves for claims and claim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2,061,237</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2,061,237</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Unearned premiums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1,338,944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Reinsurance balances payable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245,222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(245,222</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74,508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(74,508</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 net</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3059" w:type="dxa"/>
            <w:tcBorders/>
            <w:shd w:fill="CCEEFF" w:val="clear"/>
            <w:tcMar>
              <w:bottom w:w="0" w:type="dxa"/>
            </w:tcMar>
            <w:vAlign w:val="center"/>
          </w:tcPr>
          <w:p>
            <w:pPr>
              <w:pStyle w:val="TableContents"/>
              <w:bidi w:val="0"/>
              <w:spacing w:before="0" w:after="283"/>
              <w:jc w:val="left"/>
              <w:rPr>
                <w:sz w:val="20"/>
              </w:rPr>
            </w:pPr>
            <w:r>
              <w:rPr>
                <w:sz w:val="20"/>
              </w:rPr>
              <w:t>Accounts payable and other liabilities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319,730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319,730</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3,719,911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3,719,911</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Shareholders’ equity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shares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1,236,665</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44,440</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(deficit)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Retained earnings (deficit)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159,446</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income (loss)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(7,823</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stockholders’ equity</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Vantage Group Holdings Ltd. shareholders’ equity</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1,432,728</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1,432,728</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Noncontrolling interest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1,440,424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1,440,424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74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5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and shareholders’ equity</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5,160,335</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represents the reclassification of Vantage’s historical “Fixed maturity securities available for sale, at fair value” and “Fixed maturity security held to maturity, at amortized cost” amounts to “Investment in fixed maturity securities”, which will represent a new financial statement line item in HHH’s financial statements upon close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Vantage’s historical “Premiums receivable” amount will be presented in “Accounts receivable, net” to conform to HHH’s historical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“Reinsurance recoverable on paid and unpaid losses”, “Reserves for claims and claim expenses”, and “Unearned premiums” represent insurance specific financial statement line items that are historically presented on Vantage’s financial statements and will represent new financial statement line items in HHH’s financial statements upon close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Vantage’s historical “Deferred acquisition costs” amount will be presented in “Deferred expenses, net” to conform to HHH’s historical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represents the reclassification of Vantage’s historical presentation of Intangible assets recorded within “Other assets” amount to “Intangibles, net”, which will represent a new financial statement line item in HHH’s financial statements upon close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represents the reclassification of Vantage’s historical “Accrued investment income”, “Prepaid reinsurance premiums”, “Fee income receivable”, and “Funds held by third parties” amounts to “Other assets” to conform to HHH’s historical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This represents the reclassification of Vantage’s historical fixed assets within “Other assets, net” to “Buildings and equipment” to conform to HHH’s historical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This represents the reclassification of Vantage’s historical “Reinsurance balances payable” and “Other liabilities” amounts to “Other liabilities, net”, which will represent a new financial statement line item in HHH’s financial statements upon close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represents the relabeling of Vantage’s historical “Total Vantage Group Holdings Ltd. shareholders’ equity” financial statement line item to “Total stockholders’ equity” to conform to HHH’s historical presentation.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Unaudited Reclassified Condensed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b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036"/>
        <w:gridCol w:w="60"/>
        <w:gridCol w:w="3099"/>
        <w:gridCol w:w="60"/>
        <w:gridCol w:w="125"/>
        <w:gridCol w:w="695"/>
        <w:gridCol w:w="80"/>
        <w:gridCol w:w="60"/>
        <w:gridCol w:w="218"/>
        <w:gridCol w:w="1137"/>
        <w:gridCol w:w="80"/>
        <w:gridCol w:w="60"/>
        <w:gridCol w:w="440"/>
        <w:gridCol w:w="60"/>
        <w:gridCol w:w="136"/>
        <w:gridCol w:w="761"/>
        <w:gridCol w:w="98"/>
      </w:tblGrid>
      <w:tr>
        <w:trPr/>
        <w:tc>
          <w:tcPr>
            <w:tcW w:w="303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HHH Presentation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79"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Vantage Presentation</w:t>
            </w:r>
          </w:p>
        </w:tc>
        <w:tc>
          <w:tcPr>
            <w:tcW w:w="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89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 xml:space="preserve">Vantage, </w:t>
              <w:br/>
              <w:t>Adjusted</w:t>
            </w:r>
          </w:p>
        </w:tc>
        <w:tc>
          <w:tcPr>
            <w:tcW w:w="98"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earned premiums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285,034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sz w:val="20"/>
              </w:rPr>
            </w:pPr>
            <w:r>
              <w:rPr>
                <w:sz w:val="20"/>
              </w:rPr>
              <w:t>$</w:t>
            </w:r>
          </w:p>
        </w:tc>
        <w:tc>
          <w:tcPr>
            <w:tcW w:w="761" w:type="dxa"/>
            <w:tcBorders/>
            <w:shd w:fill="FFFFFF" w:val="clear"/>
            <w:tcMar>
              <w:bottom w:w="0" w:type="dxa"/>
            </w:tcMar>
            <w:vAlign w:val="center"/>
          </w:tcPr>
          <w:p>
            <w:pPr>
              <w:pStyle w:val="TableContents"/>
              <w:bidi w:val="0"/>
              <w:spacing w:before="0" w:after="283"/>
              <w:jc w:val="right"/>
              <w:rPr>
                <w:sz w:val="20"/>
              </w:rPr>
            </w:pPr>
            <w:r>
              <w:rPr>
                <w:sz w:val="20"/>
              </w:rPr>
              <w:t>285,034</w:t>
            </w:r>
          </w:p>
        </w:tc>
        <w:tc>
          <w:tcPr>
            <w:tcW w:w="98" w:type="dxa"/>
            <w:tcBorders/>
            <w:shd w:fill="FFFFFF" w:val="clear"/>
            <w:tcMar>
              <w:bottom w:w="0" w:type="dxa"/>
            </w:tcMar>
            <w:vAlign w:val="center"/>
          </w:tcPr>
          <w:p>
            <w:pPr>
              <w:pStyle w:val="TableContents"/>
              <w:bidi w:val="0"/>
              <w:spacing w:before="0" w:after="283"/>
              <w:jc w:val="left"/>
              <w:rPr/>
            </w:pPr>
            <w:r>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investment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34,215</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16,102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16,088</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334,801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335,337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8" w:type="dxa"/>
            <w:tcBorders/>
            <w:shd w:fill="CCEEFF" w:val="clear"/>
            <w:tcMar>
              <w:bottom w:w="0" w:type="dxa"/>
            </w:tcMar>
            <w:vAlign w:val="center"/>
          </w:tcPr>
          <w:p>
            <w:pPr>
              <w:pStyle w:val="TableContents"/>
              <w:bidi w:val="0"/>
              <w:spacing w:before="0" w:after="283"/>
              <w:jc w:val="left"/>
              <w:rPr/>
            </w:pPr>
            <w:r>
              <w:rPr/>
              <w:t> </w:t>
            </w:r>
          </w:p>
        </w:tc>
        <w:tc>
          <w:tcPr>
            <w:tcW w:w="1137"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pPr>
            <w:r>
              <w:rPr/>
              <w:t> </w:t>
            </w:r>
          </w:p>
        </w:tc>
        <w:tc>
          <w:tcPr>
            <w:tcW w:w="761" w:type="dxa"/>
            <w:tcBorders/>
            <w:shd w:fill="CCEEFF" w:val="clear"/>
            <w:tcMar>
              <w:bottom w:w="0" w:type="dxa"/>
            </w:tcMar>
            <w:vAlign w:val="center"/>
          </w:tcPr>
          <w:p>
            <w:pPr>
              <w:pStyle w:val="TableContents"/>
              <w:bidi w:val="0"/>
              <w:spacing w:before="0" w:after="283"/>
              <w:jc w:val="right"/>
              <w:rPr/>
            </w:pPr>
            <w:r>
              <w:rPr/>
              <w:t> </w:t>
            </w:r>
          </w:p>
        </w:tc>
        <w:tc>
          <w:tcPr>
            <w:tcW w:w="98" w:type="dxa"/>
            <w:tcBorders/>
            <w:shd w:fill="CCEEFF" w:val="clear"/>
            <w:tcMar>
              <w:bottom w:w="0" w:type="dxa"/>
            </w:tcMar>
            <w:vAlign w:val="center"/>
          </w:tcPr>
          <w:p>
            <w:pPr>
              <w:pStyle w:val="TableContents"/>
              <w:bidi w:val="0"/>
              <w:spacing w:before="0" w:after="283"/>
              <w:jc w:val="left"/>
              <w:rPr/>
            </w:pPr>
            <w:r>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claims and claim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163,845</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underwriting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53,124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37,392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90,516</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40,605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(38,660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1,945</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9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1,268</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5,050</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262,624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262,624</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 (loss), net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3099"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w:t>
            </w:r>
          </w:p>
        </w:tc>
        <w:tc>
          <w:tcPr>
            <w:tcW w:w="98"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3099"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72,177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6,810</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65,367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65,367</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6"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9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303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common stockholders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099"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8"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6"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1"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65,275</w:t>
            </w:r>
          </w:p>
        </w:tc>
        <w:tc>
          <w:tcPr>
            <w:tcW w:w="9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represents the reclassification of Vantage’s historical “Net realized losses on investments” to “Investment gain (loss), net” which will represent a new financial statement line item in HHH’s financial statements upon close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Vantage’s historical “Fee and other income” will be presented in “Other revenue” and “Other income (loss), net” to conform to HHH’s historical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represents the reclassification of Vantage’s historical depreciation &amp; amortization recorded within “General &amp; administrative expenses” to “Depreciation &amp; amortization” to conform to HHH’s historical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represents the reclassification of Vantage’s historical general and administrative expenses (excluding stock-based compensation expense) from “General and Administrative” to “Insurance underwriting expenses”.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Vantage Unaudited Reclassified Condensed Statement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 December 31, 2025</w:t>
        <w:b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906"/>
        <w:gridCol w:w="60"/>
        <w:gridCol w:w="2963"/>
        <w:gridCol w:w="60"/>
        <w:gridCol w:w="125"/>
        <w:gridCol w:w="845"/>
        <w:gridCol w:w="80"/>
        <w:gridCol w:w="60"/>
        <w:gridCol w:w="192"/>
        <w:gridCol w:w="1163"/>
        <w:gridCol w:w="80"/>
        <w:gridCol w:w="60"/>
        <w:gridCol w:w="485"/>
        <w:gridCol w:w="60"/>
        <w:gridCol w:w="125"/>
        <w:gridCol w:w="845"/>
        <w:gridCol w:w="96"/>
      </w:tblGrid>
      <w:tr>
        <w:trPr/>
        <w:tc>
          <w:tcPr>
            <w:tcW w:w="290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HHH Presentation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993" w:type="dxa"/>
            <w:gridSpan w:val="4"/>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 Vantage Presentation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r>
          </w:p>
        </w:tc>
        <w:tc>
          <w:tcPr>
            <w:tcW w:w="8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4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7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Historical </w:t>
              <w:br/>
              <w:t xml:space="preserve">Vantage, </w:t>
              <w:br/>
              <w:t>Adjusted</w:t>
            </w:r>
          </w:p>
        </w:tc>
        <w:tc>
          <w:tcPr>
            <w:tcW w:w="96"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0" w:type="dxa"/>
            <w:gridSpan w:val="2"/>
            <w:tcBorders/>
            <w:shd w:fill="CCEEFF" w:val="clear"/>
            <w:tcMar>
              <w:bottom w:w="0" w:type="dxa"/>
            </w:tcMar>
            <w:vAlign w:val="center"/>
          </w:tcPr>
          <w:p>
            <w:pPr>
              <w:pStyle w:val="TableContents"/>
              <w:bidi w:val="0"/>
              <w:spacing w:before="0" w:after="283"/>
              <w:jc w:val="center"/>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55" w:type="dxa"/>
            <w:gridSpan w:val="2"/>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70" w:type="dxa"/>
            <w:gridSpan w:val="2"/>
            <w:tcBorders/>
            <w:shd w:fill="CCEEFF" w:val="clear"/>
            <w:tcMar>
              <w:bottom w:w="0" w:type="dxa"/>
            </w:tcMar>
            <w:vAlign w:val="center"/>
          </w:tcPr>
          <w:p>
            <w:pPr>
              <w:pStyle w:val="TableContents"/>
              <w:bidi w:val="0"/>
              <w:spacing w:before="0" w:after="283"/>
              <w:jc w:val="lef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earned premiums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earned premiums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1,035,443</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1,035,443</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insurance investment income</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investment income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116,292</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realized losses on investments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revenue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 and other income</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30,664</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26,748</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revenues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1,182,824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(4,341</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1,178,483</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Expenses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2" w:type="dxa"/>
            <w:tcBorders/>
            <w:shd w:fill="CCEEFF" w:val="clear"/>
            <w:tcMar>
              <w:bottom w:w="0" w:type="dxa"/>
            </w:tcMar>
            <w:vAlign w:val="center"/>
          </w:tcPr>
          <w:p>
            <w:pPr>
              <w:pStyle w:val="TableContents"/>
              <w:bidi w:val="0"/>
              <w:spacing w:before="0" w:after="283"/>
              <w:jc w:val="left"/>
              <w:rPr/>
            </w:pPr>
            <w:r>
              <w:rPr/>
              <w:t> </w:t>
            </w:r>
          </w:p>
        </w:tc>
        <w:tc>
          <w:tcPr>
            <w:tcW w:w="1163" w:type="dxa"/>
            <w:tcBorders/>
            <w:shd w:fill="CCEEFF" w:val="clear"/>
            <w:tcMar>
              <w:bottom w:w="0" w:type="dxa"/>
            </w:tcMar>
            <w:vAlign w:val="center"/>
          </w:tcPr>
          <w:p>
            <w:pPr>
              <w:pStyle w:val="TableContents"/>
              <w:bidi w:val="0"/>
              <w:spacing w:before="0" w:after="283"/>
              <w:jc w:val="righ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pPr>
            <w:r>
              <w:rPr/>
              <w:t> </w:t>
            </w:r>
          </w:p>
        </w:tc>
        <w:tc>
          <w:tcPr>
            <w:tcW w:w="96" w:type="dxa"/>
            <w:tcBorders/>
            <w:shd w:fill="CCEEFF" w:val="clear"/>
            <w:tcMar>
              <w:bottom w:w="0" w:type="dxa"/>
            </w:tcMar>
            <w:vAlign w:val="center"/>
          </w:tcPr>
          <w:p>
            <w:pPr>
              <w:pStyle w:val="TableContents"/>
              <w:bidi w:val="0"/>
              <w:spacing w:before="0" w:after="283"/>
              <w:jc w:val="left"/>
              <w:rPr/>
            </w:pPr>
            <w:r>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claims and claim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Claims and claim expenses incurred, net</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shd w:fill="FFFFFF" w:val="clear"/>
            <w:tcMar>
              <w:bottom w:w="0" w:type="dxa"/>
            </w:tcMar>
            <w:vAlign w:val="center"/>
          </w:tcPr>
          <w:p>
            <w:pPr>
              <w:pStyle w:val="TableContents"/>
              <w:bidi w:val="0"/>
              <w:spacing w:before="0" w:after="283"/>
              <w:jc w:val="left"/>
              <w:rPr/>
            </w:pPr>
            <w:r>
              <w:rPr/>
              <w:t> </w:t>
            </w:r>
          </w:p>
        </w:tc>
        <w:tc>
          <w:tcPr>
            <w:tcW w:w="1163" w:type="dxa"/>
            <w:tcBorders/>
            <w:shd w:fill="FFFFFF" w:val="clear"/>
            <w:tcMar>
              <w:bottom w:w="0" w:type="dxa"/>
            </w:tcM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616,216</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underwriting expenses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Acquisition expenses, net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195,380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158,841</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354,221</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174,947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(167,477</w:t>
            </w:r>
          </w:p>
        </w:tc>
        <w:tc>
          <w:tcPr>
            <w:tcW w:w="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7,470</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296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8,636</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2" w:type="dxa"/>
            <w:tcBorders>
              <w:bottom w:val="single" w:sz="8" w:space="0" w:color="000000"/>
            </w:tcBorders>
            <w:shd w:fill="FFFFFF" w:val="clear"/>
            <w:vAlign w:val="center"/>
          </w:tcPr>
          <w:p>
            <w:pPr>
              <w:pStyle w:val="TableContents"/>
              <w:bidi w:val="0"/>
              <w:spacing w:before="0" w:after="283"/>
              <w:jc w:val="left"/>
              <w:rPr/>
            </w:pPr>
            <w:r>
              <w:rPr/>
              <w:t> </w:t>
            </w:r>
          </w:p>
        </w:tc>
        <w:tc>
          <w:tcPr>
            <w:tcW w:w="1163" w:type="dxa"/>
            <w:tcBorders>
              <w:bottom w:val="single" w:sz="8" w:space="0" w:color="000000"/>
            </w:tcBorders>
            <w:shd w:fill="FFFFFF" w:val="clear"/>
            <w:vAlign w:val="center"/>
          </w:tcPr>
          <w:p>
            <w:pPr>
              <w:pStyle w:val="TableContents"/>
              <w:bidi w:val="0"/>
              <w:spacing w:before="0" w:after="283"/>
              <w:jc w:val="righ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18,137</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expenses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1,004,680</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1,004,680</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gain (loss), net</w:t>
              <w:tab/>
            </w:r>
          </w:p>
        </w:tc>
        <w:tc>
          <w:tcPr>
            <w:tcW w:w="60" w:type="dxa"/>
            <w:tcBorders/>
            <w:shd w:fill="FFFFFF" w:val="clear"/>
            <w:tcMar>
              <w:bottom w:w="0" w:type="dxa"/>
            </w:tcMar>
            <w:vAlign w:val="center"/>
          </w:tcPr>
          <w:p>
            <w:pPr>
              <w:pStyle w:val="TableContents"/>
              <w:bidi w:val="0"/>
              <w:spacing w:before="0" w:after="283"/>
              <w:jc w:val="left"/>
              <w:rPr/>
            </w:pPr>
            <w:r>
              <w:rPr/>
              <w:t> </w:t>
            </w:r>
          </w:p>
        </w:tc>
        <w:tc>
          <w:tcPr>
            <w:tcW w:w="29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(loss), net</w:t>
              <w:tab/>
            </w:r>
          </w:p>
        </w:tc>
        <w:tc>
          <w:tcPr>
            <w:tcW w:w="60" w:type="dxa"/>
            <w:tcBorders/>
            <w:shd w:fill="CCEEFF" w:val="clear"/>
            <w:tcMar>
              <w:bottom w:w="0" w:type="dxa"/>
            </w:tcMar>
            <w:vAlign w:val="center"/>
          </w:tcPr>
          <w:p>
            <w:pPr>
              <w:pStyle w:val="TableContents"/>
              <w:bidi w:val="0"/>
              <w:spacing w:before="0" w:after="283"/>
              <w:jc w:val="left"/>
              <w:rPr/>
            </w:pPr>
            <w:r>
              <w:rPr/>
              <w:t> </w:t>
            </w:r>
          </w:p>
        </w:tc>
        <w:tc>
          <w:tcPr>
            <w:tcW w:w="296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3,916</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(loss) before income taxes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before income taxes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178,144</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178,144</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(Benefit) provision for income taxes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(23,603</w:t>
            </w:r>
          </w:p>
        </w:tc>
        <w:tc>
          <w:tcPr>
            <w:tcW w:w="9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63"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201,747</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loss attributable to noncontrolling interests</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Net income attributable to noncontrolling interest</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3"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85"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4,706</w:t>
            </w:r>
          </w:p>
        </w:tc>
        <w:tc>
          <w:tcPr>
            <w:tcW w:w="9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90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(loss) attributable to common stockholders</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63"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 attributable to Vantage Group Holdings Ltd.</w:t>
              <w:tab/>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197,041</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2"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3"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85"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197,041</w:t>
            </w:r>
          </w:p>
        </w:tc>
        <w:tc>
          <w:tcPr>
            <w:tcW w:w="9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represents the reclassification of Vantage’s historical “Net realized losses on investments” to “Investment gain (loss), net” which will represent a new financial statement line item in HHH’s financial statements upon close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Vantage’s historical “Fee and other income” will be presented in “Other revenue” and “Other income (loss), net” to conform to HHH’s historical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represents the reclassification of Vantage’s historical depreciation &amp; amortization recorded within “General &amp; administrative expenses” to “Depreciation &amp; amortization” to conform to HHH’s historical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This represents the reclassification of Vantage’s historical general and administrative expenses (excluding stock-based compensation expense) from “General and Administrative” to “Insurance underwriting expenses”.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27336</Words>
  <Characters>151449</Characters>
  <CharactersWithSpaces>184464</CharactersWithSpaces>
  <Paragraphs>16236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