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2"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32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Pershing Square Capital</w:t>
              </w:r>
            </w:hyperlink>
          </w:p>
        </w:tc>
        <w:tc>
          <w:tcPr>
            <w:tcW w:w="7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320" w:type="dxa"/>
            <w:vAlign w:val="bottom"/>
            <w:tcBorders>
              <w:bottom w:val="single" w:sz="8" w:color="0000EE"/>
            </w:tcBorders>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04/27/2026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Howard Hughes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HHH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82"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787 ELEVENTH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9TH FLOOR</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8" w:lineRule="exact"/>
        <w:rPr>
          <w:sz w:val="20"/>
          <w:szCs w:val="20"/>
          <w:color w:val="auto"/>
        </w:rPr>
      </w:pPr>
    </w:p>
    <w:p>
      <w:pPr>
        <w:sectPr>
          <w:pgSz w:w="11900" w:h="16882" w:orient="portrait"/>
          <w:cols w:equalWidth="0" w:num="3">
            <w:col w:w="4277" w:space="720"/>
            <w:col w:w="3003" w:space="269"/>
            <w:col w:w="2671"/>
          </w:cols>
          <w:pgMar w:left="480" w:top="230" w:right="479" w:bottom="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700" w:type="dxa"/>
            <w:vAlign w:val="bottom"/>
          </w:tcPr>
          <w:p>
            <w:pPr>
              <w:ind w:left="7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4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center"/>
              <w:ind w:left="652"/>
              <w:spacing w:after="0"/>
              <w:rPr>
                <w:sz w:val="20"/>
                <w:szCs w:val="20"/>
                <w:color w:val="auto"/>
              </w:rPr>
            </w:pPr>
            <w:r>
              <w:rPr>
                <w:rFonts w:ascii="Times New Roman" w:cs="Times New Roman" w:eastAsia="Times New Roman" w:hAnsi="Times New Roman"/>
                <w:sz w:val="20"/>
                <w:szCs w:val="20"/>
                <w:color w:val="0000FF"/>
                <w:w w:val="97"/>
              </w:rPr>
              <w:t>18,511,031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(1)(2)(3)(6)(7)(8)(10)</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center"/>
              <w:ind w:left="652"/>
              <w:spacing w:after="0"/>
              <w:rPr>
                <w:sz w:val="20"/>
                <w:szCs w:val="20"/>
                <w:color w:val="auto"/>
              </w:rPr>
            </w:pPr>
            <w:r>
              <w:rPr>
                <w:rFonts w:ascii="Times New Roman" w:cs="Times New Roman" w:eastAsia="Times New Roman" w:hAnsi="Times New Roman"/>
                <w:sz w:val="20"/>
                <w:szCs w:val="20"/>
                <w:color w:val="0000FF"/>
                <w:w w:val="98"/>
              </w:rPr>
              <w:t>341,033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(1)(2)(4)(6)(7)(8)(10)</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center"/>
              <w:ind w:left="672"/>
              <w:spacing w:after="0"/>
              <w:rPr>
                <w:sz w:val="20"/>
                <w:szCs w:val="20"/>
                <w:color w:val="auto"/>
              </w:rPr>
            </w:pPr>
            <w:r>
              <w:rPr>
                <w:rFonts w:ascii="Times New Roman" w:cs="Times New Roman" w:eastAsia="Times New Roman" w:hAnsi="Times New Roman"/>
                <w:sz w:val="20"/>
                <w:szCs w:val="20"/>
                <w:color w:val="0000FF"/>
                <w:w w:val="97"/>
              </w:rPr>
              <w:t>9,000,000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(1)(5)(6)(7)(8)(10)</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41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Borders>
              <w:bottom w:val="single" w:sz="8" w:color="2C2C2C"/>
            </w:tcBorders>
          </w:tcPr>
          <w:p>
            <w:pPr>
              <w:jc w:val="center"/>
              <w:ind w:left="652"/>
              <w:spacing w:after="0"/>
              <w:rPr>
                <w:sz w:val="20"/>
                <w:szCs w:val="20"/>
                <w:color w:val="auto"/>
              </w:rPr>
            </w:pPr>
            <w:r>
              <w:rPr>
                <w:rFonts w:ascii="Times New Roman" w:cs="Times New Roman" w:eastAsia="Times New Roman" w:hAnsi="Times New Roman"/>
                <w:sz w:val="20"/>
                <w:szCs w:val="20"/>
                <w:color w:val="0000FF"/>
                <w:w w:val="97"/>
              </w:rPr>
              <w:t>59,393,938</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(1)(6)(7)(8)(9)(10)</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7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1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Pershing Square Capital Management,</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787 ELEVENTH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9TH FLOOR</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Pershing Square HHH Holdings,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787 - 11TH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9TH FLOOR</w:t>
      </w:r>
    </w:p>
    <w:p>
      <w:pPr>
        <w:sectPr>
          <w:pgSz w:w="11900" w:h="16882"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tcPr>
          <w:p>
            <w:pPr>
              <w:ind w:left="18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9"/>
              </w:rPr>
            </w:pPr>
            <w:hyperlink r:id="rId14">
              <w:r>
                <w:rPr>
                  <w:rFonts w:ascii="Times New Roman" w:cs="Times New Roman" w:eastAsia="Times New Roman" w:hAnsi="Times New Roman"/>
                  <w:sz w:val="24"/>
                  <w:szCs w:val="24"/>
                  <w:color w:val="0000EE"/>
                  <w:w w:val="99"/>
                </w:rPr>
                <w:t>PERSHING SQUARE INC.</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tcPr>
          <w:p>
            <w:pPr>
              <w:ind w:left="18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787 ELEVENTH AVENUE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9TH FLOOR</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tcPr>
          <w:p>
            <w:pPr>
              <w:ind w:left="18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96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89604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Pershing Square Partner Group 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64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787 ELEVENTH AVENUE</w:t>
            </w:r>
          </w:p>
        </w:tc>
        <w:tc>
          <w:tcPr>
            <w:tcW w:w="16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9TH FLOOR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64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Pershing Square Management,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787 ELEVENTH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9TH FLOOR</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8"/>
              </w:rPr>
            </w:pPr>
            <w:hyperlink r:id="rId18">
              <w:r>
                <w:rPr>
                  <w:rFonts w:ascii="Times New Roman" w:cs="Times New Roman" w:eastAsia="Times New Roman" w:hAnsi="Times New Roman"/>
                  <w:sz w:val="24"/>
                  <w:szCs w:val="24"/>
                  <w:color w:val="0000EE"/>
                  <w:w w:val="98"/>
                </w:rPr>
                <w:t>ACKMAN WILLIAM A</w:t>
              </w:r>
            </w:hyperlink>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787 ELEVENTH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9TH FLOOR</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 addition to Pershing Square Capital Management, L.P., a Delaware limited partnership ("PSCM"), this Form 3 is being filed jointly by Pershing Square HHH Holdings, LLC, a Nevada limited liability company ("HHH Holdings"), Pershing Square Inc., a Nevada corporation ("PS Inc."), Pershing Square Management, LLC, a Delaware limited liability company ("ManagementCo"), Pershing Square Partner Group, LLC, a Delaware limited liability company ("PSPG"), and William A. Ackman, a citizen of the United States of America (collectively, the "Reporting Persons"), each of whom has the same business address as PSCM and may be deemed to beneficially own the securities of the Issuer reported on this Form 3 (the "Subject Securities").</w:t>
      </w:r>
    </w:p>
    <w:p>
      <w:pPr>
        <w:spacing w:after="0" w:line="33" w:lineRule="exact"/>
        <w:rPr>
          <w:rFonts w:ascii="Times New Roman" w:cs="Times New Roman" w:eastAsia="Times New Roman" w:hAnsi="Times New Roman"/>
          <w:sz w:val="15"/>
          <w:szCs w:val="15"/>
          <w:color w:val="008000"/>
        </w:rPr>
      </w:pPr>
    </w:p>
    <w:p>
      <w:pPr>
        <w:ind w:left="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PSCM advises the accounts of Pershing Square, L.P., a Delaware limited partnership ("PSLP"), Pershing Square International, Ltd., a Cayman Islands exempted company ("PSI"), and Pershing Square Holdings, Ltd., a limited liability company incorporated in Guernsey ("PSH" and together with PSLP and PSI, the "Pershing Square Affiliated Funds") and PS Redemption, L.P., a Delaware limited partnership ("RedemptionCo").</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Subject Securities are held by the Pershing Square Affiliated Funds.</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Subject Securities are held by RedemptionCo.</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Subject Securities are held by HHH Holdings.</w:t>
      </w:r>
    </w:p>
    <w:p>
      <w:pPr>
        <w:sectPr>
          <w:pgSz w:w="11900" w:h="16838" w:orient="portrait"/>
          <w:cols w:equalWidth="0" w:num="1">
            <w:col w:w="10880"/>
          </w:cols>
          <w:pgMar w:left="500" w:top="440" w:right="519" w:bottom="0" w:gutter="0" w:footer="0" w:header="0"/>
        </w:sectPr>
      </w:pPr>
    </w:p>
    <w:bookmarkStart w:id="2" w:name="page3"/>
    <w:bookmarkEnd w:id="2"/>
    <w:p>
      <w:pPr>
        <w:ind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ManagementCo holds majority voting power over PS Inc. (including in its capacity as the managing member of PSPG). PS Inc. is the indirect parent company, and PSCM is the direct parent company, of HHH Holdings. ManagementCo, PSPG, PS Inc. and PSCM may each be deemed to be the beneficial owner of the Subject Securities for purposes of Rule 16a-1(a) under the Securities Exchange Act of 1934, as amended (the "Exchange Act").</w:t>
      </w:r>
    </w:p>
    <w:p>
      <w:pPr>
        <w:spacing w:after="0" w:line="29"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6) ManagementCo is governed by its members, consisting of Mr. Ackman, Ryan Israel, Ben Hakim, Michael Gonnella, Anthony Massaro and Halit Coussin (collectively, the "ManagementCo Members"). Mr. Ackman owns 24.9% of the voting interests of ManagementCo, with Mr. Israel, Mr. Hakim, Mr. Gonnella, Mr. Massaro and Ms. Coussin each owning the remainder of the voting interests equally (approximately 15% each), and the approval of a majority of the voting interests is generally required to approve any action of ManagementCo.</w:t>
      </w:r>
    </w:p>
    <w:p>
      <w:pPr>
        <w:spacing w:after="0" w:line="33" w:lineRule="exact"/>
        <w:rPr>
          <w:rFonts w:ascii="Times New Roman" w:cs="Times New Roman" w:eastAsia="Times New Roman" w:hAnsi="Times New Roman"/>
          <w:sz w:val="15"/>
          <w:szCs w:val="15"/>
          <w:color w:val="008000"/>
        </w:rPr>
      </w:pPr>
    </w:p>
    <w:p>
      <w:pPr>
        <w:ind w:right="18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7) By virtue of Mr. Ackman's position as, among other positions, the Chief Executive Officer of PSCM, Mr. Ackman may be deemed to be the beneficial owner of the Subject Securities for purposes of Rule 16a-1(a) under the Exchange Act. Each of the Reporting Persons and the ManagementCo Members disclaims any beneficial ownership of any of the Subject Securities, except to the extent of any pecuniary interest therein.</w:t>
      </w:r>
    </w:p>
    <w:p>
      <w:pPr>
        <w:spacing w:after="0" w:line="29" w:lineRule="exact"/>
        <w:rPr>
          <w:rFonts w:ascii="Times New Roman" w:cs="Times New Roman" w:eastAsia="Times New Roman" w:hAnsi="Times New Roman"/>
          <w:sz w:val="15"/>
          <w:szCs w:val="15"/>
          <w:color w:val="008000"/>
        </w:rPr>
      </w:pPr>
    </w:p>
    <w:p>
      <w:pPr>
        <w:ind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Subject Securities are not held by the Reporting Persons. However, pursuant to a Services Agreement, dated May 5, 2025, by and between PSCM and the Issuer, PSCM is entitled to a fee for services determined in part by reference to the increase, if any, in the price of a number of shares of Common Stock of the Issuer (the "Reference Securities") above $66.1453 per share, as described in greater detail in Howard Hughes Holding Inc.'s Form 8-K filed on May 6, 2025. Pursuant to Rule 16a-1(a) under the Exchange Act, PSCM's interest under the Services Agreement may be deemed to be a performance-related fee with respect to, and therefore beneficial ownership of, the Reference Securities. As of the date of this Form 3, the number of Reference Securities is 59,393,938. As with the other Subject Securities, each of the Reporting Persons disclaims any beneficial ownership of the Reference Securities, except to the extent of any pecuniary interest therein.</w:t>
      </w:r>
    </w:p>
    <w:p>
      <w:pPr>
        <w:spacing w:after="0" w:line="32" w:lineRule="exact"/>
        <w:rPr>
          <w:rFonts w:ascii="Times New Roman" w:cs="Times New Roman" w:eastAsia="Times New Roman" w:hAnsi="Times New Roman"/>
          <w:sz w:val="15"/>
          <w:szCs w:val="15"/>
          <w:color w:val="008000"/>
        </w:rPr>
      </w:pPr>
    </w:p>
    <w:p>
      <w:pPr>
        <w:ind w:right="26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Mr. Ackman and Mr. Israel, each a member of the board of directors of the Issuer, were appointed to or elected to that board as representatives of the Reporting Persons, the Pershing Square Affiliated Funds and RedemptionCo. As a result, each of those persons is a director by deputization for purposes of Section 16 of the Exchange Act.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5"/>
          <w:szCs w:val="15"/>
          <w:color w:val="008000"/>
        </w:rPr>
        <w:t>This Form 3 is being filed jointly pursuant to Rule 16a-3(j) under the Exchange Act to update the names of the Reporting Persons after giving effect to the completion of a recent reorganization of PSCM's ownership structure (the "Reorganization"). Following completion of the Reorganization, HHH Holdings and PSPG may be deemed to have the shared power to vote or direct the vote of (and the shared power to dispose or direct the disposition of) the Subject Securities, and, therefore, may be deemed to be beneficial owners of the Subject Securities. PSCM, PS Inc. (f/k/a Pershing Square Holdco, L.P.), ManagementCo and Mr. Ackman have previously reported beneficial ownership of the Subject Securities on Forms 3 and 4.</w:t>
      </w:r>
    </w:p>
    <w:p>
      <w:pPr>
        <w:sectPr>
          <w:pgSz w:w="11900" w:h="16838" w:orient="portrait"/>
          <w:cols w:equalWidth="0" w:num="1">
            <w:col w:w="10820"/>
          </w:cols>
          <w:pgMar w:left="520" w:top="125" w:right="559" w:bottom="1440" w:gutter="0" w:footer="0" w:header="0"/>
        </w:sectPr>
      </w:pP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22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130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5130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09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709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William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05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105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Ackman,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22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spacing w:after="0" w:line="4" w:lineRule="exact"/>
        <w:rPr>
          <w:sz w:val="20"/>
          <w:szCs w:val="20"/>
          <w:color w:val="auto"/>
        </w:rPr>
      </w:pPr>
    </w:p>
    <w:p>
      <w:pPr>
        <w:ind w:left="6540" w:right="120" w:hanging="7"/>
        <w:spacing w:after="0" w:line="254" w:lineRule="auto"/>
        <w:tabs>
          <w:tab w:leader="none" w:pos="7011" w:val="left"/>
        </w:tabs>
        <w:numPr>
          <w:ilvl w:val="0"/>
          <w:numId w:val="5"/>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HOLDINGS, LLC, By: /s/ William A. Ackman,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-492125</wp:posOffset>
            </wp:positionV>
            <wp:extent cx="12592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5920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-339725</wp:posOffset>
            </wp:positionV>
            <wp:extent cx="9105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105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-187325</wp:posOffset>
            </wp:positionV>
            <wp:extent cx="10388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3886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-34925</wp:posOffset>
            </wp:positionV>
            <wp:extent cx="4819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22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INC., By: /s/ William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Ackman,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333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Officer and Chairman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85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185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514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48514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220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By: 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23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22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12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its 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667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17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817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535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353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PERSHING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220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22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12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William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059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9105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Ackman, Member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8640" w:space="8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William A. Ackman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upperLetter"/>
      <w:start w:val="60"/>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0" Type="http://schemas.openxmlformats.org/officeDocument/2006/relationships/hyperlink" Target="http://www.sec.gov/cgi-bin/browse-edgar?action=getcompany&amp;CIK=0001336528" TargetMode="External"/><Relationship Id="rId11" Type="http://schemas.openxmlformats.org/officeDocument/2006/relationships/hyperlink" Target="http://www.sec.gov/cgi-bin/browse-edgar?action=getcompany&amp;CIK=0001981792" TargetMode="External"/><Relationship Id="rId13" Type="http://schemas.openxmlformats.org/officeDocument/2006/relationships/hyperlink" Target="http://www.sec.gov/cgi-bin/browse-edgar?action=getcompany&amp;CIK=0002131683" TargetMode="External"/><Relationship Id="rId14" Type="http://schemas.openxmlformats.org/officeDocument/2006/relationships/hyperlink" Target="http://www.sec.gov/cgi-bin/browse-edgar?action=getcompany&amp;CIK=0002026053" TargetMode="External"/><Relationship Id="rId16" Type="http://schemas.openxmlformats.org/officeDocument/2006/relationships/hyperlink" Target="http://www.sec.gov/cgi-bin/browse-edgar?action=getcompany&amp;CIK=0002129159" TargetMode="External"/><Relationship Id="rId17" Type="http://schemas.openxmlformats.org/officeDocument/2006/relationships/hyperlink" Target="http://www.sec.gov/cgi-bin/browse-edgar?action=getcompany&amp;CIK=0002027456" TargetMode="External"/><Relationship Id="rId18" Type="http://schemas.openxmlformats.org/officeDocument/2006/relationships/hyperlink" Target="http://www.sec.gov/cgi-bin/browse-edgar?action=getcompany&amp;CIK=0001056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2026-05-07T17:43:48Z</dcterms:created>
  <dcterms:modified xsi:type="dcterms:W3CDTF">2026-05-07T17:43:48Z</dcterms:modified>
</cp:coreProperties>
</file>