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1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GRANDISSON MARC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Howard Hughes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HHH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13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338" w:lineRule="auto"/>
        <w:rPr>
          <w:sz w:val="20"/>
          <w:szCs w:val="20"/>
          <w:color w:val="auto"/>
        </w:rPr>
      </w:pPr>
      <w:r>
        <w:rPr>
          <w:rFonts w:ascii="Times New Roman" w:cs="Times New Roman" w:eastAsia="Times New Roman" w:hAnsi="Times New Roman"/>
          <w:sz w:val="20"/>
          <w:szCs w:val="20"/>
          <w:color w:val="0000FF"/>
        </w:rPr>
        <w:t>9950 WOODLOCH FOREST DRIVE SUITE 1100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THE</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77381</w:t>
            </w:r>
          </w:p>
        </w:tc>
        <w:tc>
          <w:tcPr>
            <w:tcW w:w="0" w:type="dxa"/>
            <w:vAlign w:val="bottom"/>
          </w:tcPr>
          <w:p>
            <w:pPr>
              <w:spacing w:after="0"/>
              <w:rPr>
                <w:sz w:val="1"/>
                <w:szCs w:val="1"/>
                <w:color w:val="auto"/>
              </w:rPr>
            </w:pP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WOODLANDS</w:t>
            </w:r>
          </w:p>
        </w:tc>
        <w:tc>
          <w:tcPr>
            <w:tcW w:w="6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13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10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 par</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MGFT</w:t>
            </w:r>
          </w:p>
        </w:tc>
        <w:tc>
          <w:tcPr>
            <w:tcW w:w="0" w:type="dxa"/>
            <w:vAlign w:val="bottom"/>
          </w:tcPr>
          <w:p>
            <w:pPr>
              <w:spacing w:after="0"/>
              <w:rPr>
                <w:sz w:val="1"/>
                <w:szCs w:val="1"/>
                <w:color w:val="auto"/>
              </w:rPr>
            </w:pPr>
          </w:p>
        </w:tc>
      </w:tr>
      <w:tr>
        <w:trPr>
          <w:trHeight w:val="240"/>
        </w:trPr>
        <w:tc>
          <w:tcPr>
            <w:tcW w:w="2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 (right to buy)</w:t>
            </w:r>
          </w:p>
        </w:tc>
        <w:tc>
          <w:tcPr>
            <w:tcW w:w="980" w:type="dxa"/>
            <w:vAlign w:val="bottom"/>
          </w:tcPr>
          <w:p>
            <w:pPr>
              <w:ind w:left="80"/>
              <w:spacing w:after="0" w:line="240" w:lineRule="exact"/>
              <w:rPr>
                <w:sz w:val="20"/>
                <w:szCs w:val="20"/>
                <w:color w:val="auto"/>
              </w:rPr>
            </w:pPr>
            <w:r>
              <w:rPr>
                <w:rFonts w:ascii="Times New Roman" w:cs="Times New Roman" w:eastAsia="Times New Roman" w:hAnsi="Times New Roman"/>
                <w:sz w:val="15"/>
                <w:szCs w:val="15"/>
                <w:color w:val="0000FF"/>
              </w:rPr>
              <w:t>04/20/2030</w:t>
            </w:r>
            <w:r>
              <w:rPr>
                <w:rFonts w:ascii="Times New Roman" w:cs="Times New Roman" w:eastAsia="Times New Roman" w:hAnsi="Times New Roman"/>
                <w:sz w:val="25"/>
                <w:szCs w:val="25"/>
                <w:color w:val="008000"/>
                <w:vertAlign w:val="superscript"/>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04/20/2031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value $0.01 per</w:t>
            </w:r>
          </w:p>
        </w:tc>
        <w:tc>
          <w:tcPr>
            <w:tcW w:w="1100" w:type="dxa"/>
            <w:vAlign w:val="bottom"/>
          </w:tcPr>
          <w:p>
            <w:pPr>
              <w:ind w:left="100"/>
              <w:spacing w:after="0" w:line="240" w:lineRule="exact"/>
              <w:rPr>
                <w:sz w:val="20"/>
                <w:szCs w:val="20"/>
                <w:color w:val="auto"/>
              </w:rPr>
            </w:pPr>
            <w:r>
              <w:rPr>
                <w:rFonts w:ascii="Times New Roman" w:cs="Times New Roman" w:eastAsia="Times New Roman" w:hAnsi="Times New Roman"/>
                <w:sz w:val="20"/>
                <w:szCs w:val="20"/>
                <w:color w:val="0000FF"/>
                <w:w w:val="98"/>
              </w:rPr>
              <w:t>1,131,273</w:t>
            </w:r>
            <w:r>
              <w:rPr>
                <w:rFonts w:ascii="Times New Roman" w:cs="Times New Roman" w:eastAsia="Times New Roman" w:hAnsi="Times New Roman"/>
                <w:sz w:val="25"/>
                <w:szCs w:val="25"/>
                <w:color w:val="008000"/>
                <w:w w:val="98"/>
                <w:vertAlign w:val="superscript"/>
              </w:rPr>
              <w:t>(2)</w:t>
            </w:r>
          </w:p>
        </w:tc>
        <w:tc>
          <w:tcPr>
            <w:tcW w:w="10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100</w:t>
            </w: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341"/>
        </w:trPr>
        <w:tc>
          <w:tcPr>
            <w:tcW w:w="2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share</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 Warrant Agreement, dated as of April 20, 2026 (the "Warrant Agreement"), by and between Howard Hughes Holdings Inc. (the "Company") and MGFT Investments LLC, the Warrant becomes exercisable on April 20, 2030 (the fourth anniversary of the effective date of the Warrant Agreement) and expires on April 20, 2031 (the fifth anniversary of the effective date of the Warrant Agreement), subject to extension on a day-for-day basis (not to exceed eighteen (18) months) for any period during which the holder is prohibited from exercising the Warrant due to the necessity of obtaining any required governmental or regulatory approval.</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shares of Common Stock issuable upon exercise of a warrant to purchase shares of the common stock of the Company pursuant to the Warrant Agreement.</w:t>
      </w:r>
    </w:p>
    <w:p>
      <w:pPr>
        <w:spacing w:after="0" w:line="52" w:lineRule="exact"/>
        <w:rPr>
          <w:rFonts w:ascii="Times New Roman" w:cs="Times New Roman" w:eastAsia="Times New Roman" w:hAnsi="Times New Roman"/>
          <w:sz w:val="15"/>
          <w:szCs w:val="15"/>
          <w:color w:val="008000"/>
        </w:rPr>
      </w:pPr>
    </w:p>
    <w:p>
      <w:pPr>
        <w:jc w:val="both"/>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is held of record by MGFT Investments LLC, a Delaware limited liability company that is solely owned and controlled by a trust for the benefit of certain members of Mr. Grandisson's family. Mr. Grandisson disclaims beneficial ownership of the Warrant, and the shares of Common Stock issuable upon exercise thereof, except to the extent of his pecuniary interest therein.</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59" w:lineRule="auto"/>
        <w:rPr>
          <w:sz w:val="20"/>
          <w:szCs w:val="20"/>
          <w:color w:val="auto"/>
        </w:rPr>
      </w:pPr>
      <w:r>
        <w:rPr>
          <w:rFonts w:ascii="Times New Roman" w:cs="Times New Roman" w:eastAsia="Times New Roman" w:hAnsi="Times New Roman"/>
          <w:sz w:val="15"/>
          <w:szCs w:val="15"/>
          <w:color w:val="008000"/>
        </w:rPr>
        <w:t>Mr. Grandisson became a Reporting Person of the Issuer pursuant to his appointment to the Board of Directors of Howard Hughes Holdings Inc. effective May 7, 2026. Exhibit 24 - Power of Attorney</w:t>
      </w:r>
    </w:p>
    <w:p>
      <w:pPr>
        <w:spacing w:after="0" w:line="4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Nathan Bryce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324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Marc 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Grandisson)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051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0515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3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David R. O’Reilly, Joseph Valane,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Nathan Bryce, and with full power of substitution, the undersigned’s true and lawful attorney-in-fact to:</w:t>
      </w:r>
    </w:p>
    <w:p>
      <w:pPr>
        <w:spacing w:after="0" w:line="230" w:lineRule="exact"/>
        <w:rPr>
          <w:sz w:val="20"/>
          <w:szCs w:val="20"/>
          <w:color w:val="auto"/>
        </w:rPr>
      </w:pPr>
    </w:p>
    <w:p>
      <w:pPr>
        <w:jc w:val="both"/>
        <w:ind w:left="360" w:hanging="360"/>
        <w:spacing w:after="0" w:line="26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Howard Hughes Holdings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4th day of May,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Marc Grandisson</w:t>
            </w:r>
          </w:p>
        </w:tc>
        <w:tc>
          <w:tcPr>
            <w:tcW w:w="5460" w:type="dxa"/>
            <w:vAlign w:val="bottom"/>
          </w:tcPr>
          <w:p>
            <w:pPr>
              <w:spacing w:after="0"/>
              <w:rPr>
                <w:sz w:val="22"/>
                <w:szCs w:val="22"/>
                <w:color w:val="auto"/>
              </w:rPr>
            </w:pPr>
          </w:p>
        </w:tc>
      </w:tr>
      <w:tr>
        <w:trPr>
          <w:trHeight w:val="25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Marc Grandisson</w:t>
            </w:r>
          </w:p>
        </w:tc>
        <w:tc>
          <w:tcPr>
            <w:tcW w:w="5460" w:type="dxa"/>
            <w:vAlign w:val="bottom"/>
          </w:tcPr>
          <w:p>
            <w:pPr>
              <w:spacing w:after="0"/>
              <w:rPr>
                <w:sz w:val="22"/>
                <w:szCs w:val="22"/>
                <w:color w:val="auto"/>
              </w:rPr>
            </w:pPr>
          </w:p>
        </w:tc>
      </w:tr>
      <w:tr>
        <w:trPr>
          <w:trHeight w:val="730"/>
        </w:trPr>
        <w:tc>
          <w:tcPr>
            <w:tcW w:w="10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86007" TargetMode="External"/><Relationship Id="rId11"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2026-05-13T16:07:52Z</dcterms:created>
  <dcterms:modified xsi:type="dcterms:W3CDTF">2026-05-13T16:07:52Z</dcterms:modified>
</cp:coreProperties>
</file>