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1"/>
          <w:szCs w:val="11"/>
          <w:b w:val="1"/>
          <w:bCs w:val="1"/>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Washington, D.C. 20549</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FORM 10-K/A</w:t>
      </w:r>
    </w:p>
    <w:p>
      <w:pPr>
        <w:spacing w:after="0" w:line="1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[X] ANNUAL REPORT PURSUANT TO SECTION 13 OR 15(d) OF THE SECURITIES EXCHANGE ACT OF 1934</w:t>
      </w:r>
    </w:p>
    <w:p>
      <w:pPr>
        <w:spacing w:after="0" w:line="99"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For the fiscal year ended December 31, 2018</w:t>
      </w:r>
    </w:p>
    <w:p>
      <w:pPr>
        <w:spacing w:after="0" w:line="111" w:lineRule="exact"/>
        <w:rPr>
          <w:sz w:val="24"/>
          <w:szCs w:val="24"/>
          <w:color w:val="auto"/>
        </w:rPr>
      </w:pPr>
    </w:p>
    <w:p>
      <w:pPr>
        <w:ind w:left="5680"/>
        <w:spacing w:after="0"/>
        <w:rPr>
          <w:sz w:val="20"/>
          <w:szCs w:val="20"/>
          <w:color w:val="auto"/>
        </w:rPr>
      </w:pPr>
      <w:r>
        <w:rPr>
          <w:rFonts w:ascii="Arial" w:cs="Arial" w:eastAsia="Arial" w:hAnsi="Arial"/>
          <w:sz w:val="11"/>
          <w:szCs w:val="11"/>
          <w:b w:val="1"/>
          <w:bCs w:val="1"/>
          <w:color w:val="auto"/>
        </w:rPr>
        <w:t>or</w:t>
      </w:r>
    </w:p>
    <w:p>
      <w:pPr>
        <w:spacing w:after="0" w:line="11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  ] TRANSITION REPORT PURSUANT TO SECTION 13 OR 15(d) OF THE SECURITIES EXCHANGE ACT OF 1934</w:t>
      </w:r>
    </w:p>
    <w:p>
      <w:pPr>
        <w:sectPr>
          <w:pgSz w:w="11900" w:h="16838" w:orient="portrait"/>
          <w:cols w:equalWidth="0" w:num="1">
            <w:col w:w="11460"/>
          </w:cols>
          <w:pgMar w:left="220" w:top="575" w:right="219" w:bottom="1440" w:gutter="0" w:footer="0" w:header="0"/>
        </w:sectPr>
      </w:pPr>
    </w:p>
    <w:p>
      <w:pPr>
        <w:spacing w:after="0" w:line="111" w:lineRule="exact"/>
        <w:rPr>
          <w:sz w:val="24"/>
          <w:szCs w:val="24"/>
          <w:color w:val="auto"/>
        </w:rPr>
      </w:pPr>
    </w:p>
    <w:p>
      <w:pPr>
        <w:ind w:left="4800"/>
        <w:spacing w:after="0"/>
        <w:rPr>
          <w:sz w:val="20"/>
          <w:szCs w:val="20"/>
          <w:color w:val="auto"/>
        </w:rPr>
      </w:pPr>
      <w:r>
        <w:rPr>
          <w:rFonts w:ascii="Arial" w:cs="Arial" w:eastAsia="Arial" w:hAnsi="Arial"/>
          <w:sz w:val="10"/>
          <w:szCs w:val="10"/>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to</w:t>
      </w:r>
    </w:p>
    <w:p>
      <w:pPr>
        <w:spacing w:after="0" w:line="145" w:lineRule="exact"/>
        <w:rPr>
          <w:sz w:val="24"/>
          <w:szCs w:val="24"/>
          <w:color w:val="auto"/>
        </w:rPr>
      </w:pPr>
    </w:p>
    <w:p>
      <w:pPr>
        <w:sectPr>
          <w:pgSz w:w="11900" w:h="16838" w:orient="portrait"/>
          <w:cols w:equalWidth="0" w:num="2">
            <w:col w:w="6280" w:space="300"/>
            <w:col w:w="4880"/>
          </w:cols>
          <w:pgMar w:left="220" w:top="575" w:right="219" w:bottom="1440" w:gutter="0" w:footer="0" w:header="0"/>
          <w:type w:val="continuous"/>
        </w:sectPr>
      </w:pPr>
    </w:p>
    <w:p>
      <w:pPr>
        <w:jc w:val="center"/>
        <w:spacing w:after="0"/>
        <w:rPr>
          <w:sz w:val="20"/>
          <w:szCs w:val="20"/>
          <w:color w:val="auto"/>
        </w:rPr>
      </w:pPr>
      <w:r>
        <w:rPr>
          <w:rFonts w:ascii="Arial" w:cs="Arial" w:eastAsia="Arial" w:hAnsi="Arial"/>
          <w:sz w:val="10"/>
          <w:szCs w:val="10"/>
          <w:b w:val="1"/>
          <w:bCs w:val="1"/>
          <w:color w:val="auto"/>
        </w:rPr>
        <w:t>Commission File Number 001-34856</w:t>
      </w:r>
    </w:p>
    <w:p>
      <w:pPr>
        <w:sectPr>
          <w:pgSz w:w="11900" w:h="16838" w:orient="portrait"/>
          <w:cols w:equalWidth="0" w:num="1">
            <w:col w:w="11460"/>
          </w:cols>
          <w:pgMar w:left="220" w:top="575" w:right="219" w:bottom="1440" w:gutter="0" w:footer="0" w:header="0"/>
          <w:type w:val="continuous"/>
        </w:sectPr>
      </w:pPr>
    </w:p>
    <w:p>
      <w:pPr>
        <w:spacing w:after="0" w:line="138" w:lineRule="exact"/>
        <w:rPr>
          <w:sz w:val="24"/>
          <w:szCs w:val="24"/>
          <w:color w:val="auto"/>
        </w:rPr>
      </w:pPr>
    </w:p>
    <w:tbl>
      <w:tblPr>
        <w:tblLayout w:type="fixed"/>
        <w:tblInd w:w="1900" w:type="dxa"/>
        <w:tblCellMar>
          <w:top w:w="0" w:type="dxa"/>
          <w:left w:w="0" w:type="dxa"/>
          <w:bottom w:w="0" w:type="dxa"/>
          <w:right w:w="0" w:type="dxa"/>
        </w:tblCellMar>
      </w:tblPr>
      <w:tr>
        <w:trPr>
          <w:trHeight w:val="195"/>
        </w:trPr>
        <w:tc>
          <w:tcPr>
            <w:tcW w:w="2120" w:type="dxa"/>
            <w:vAlign w:val="bottom"/>
          </w:tcPr>
          <w:p>
            <w:pPr>
              <w:spacing w:after="0"/>
              <w:rPr>
                <w:sz w:val="16"/>
                <w:szCs w:val="16"/>
                <w:color w:val="auto"/>
              </w:rPr>
            </w:pPr>
          </w:p>
        </w:tc>
        <w:tc>
          <w:tcPr>
            <w:tcW w:w="5180" w:type="dxa"/>
            <w:vAlign w:val="bottom"/>
            <w:gridSpan w:val="3"/>
          </w:tcPr>
          <w:p>
            <w:pPr>
              <w:jc w:val="center"/>
              <w:ind w:right="1683"/>
              <w:spacing w:after="0"/>
              <w:rPr>
                <w:sz w:val="20"/>
                <w:szCs w:val="20"/>
                <w:color w:val="auto"/>
              </w:rPr>
            </w:pPr>
            <w:r>
              <w:rPr>
                <w:rFonts w:ascii="Arial" w:cs="Arial" w:eastAsia="Arial" w:hAnsi="Arial"/>
                <w:sz w:val="17"/>
                <w:szCs w:val="17"/>
                <w:b w:val="1"/>
                <w:bCs w:val="1"/>
                <w:color w:val="auto"/>
              </w:rPr>
              <w:t>THE HOWARD HUGHES CORPORATION</w:t>
            </w:r>
          </w:p>
        </w:tc>
      </w:tr>
      <w:tr>
        <w:trPr>
          <w:trHeight w:val="143"/>
        </w:trPr>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4"/>
              </w:rPr>
              <w:t>(Exact name of registrant as specified in its charter)</w:t>
            </w:r>
          </w:p>
        </w:tc>
        <w:tc>
          <w:tcPr>
            <w:tcW w:w="1800" w:type="dxa"/>
            <w:vAlign w:val="bottom"/>
          </w:tcPr>
          <w:p>
            <w:pPr>
              <w:spacing w:after="0"/>
              <w:rPr>
                <w:sz w:val="12"/>
                <w:szCs w:val="12"/>
                <w:color w:val="auto"/>
              </w:rPr>
            </w:pPr>
          </w:p>
        </w:tc>
      </w:tr>
      <w:tr>
        <w:trPr>
          <w:trHeight w:val="431"/>
        </w:trPr>
        <w:tc>
          <w:tcPr>
            <w:tcW w:w="2120" w:type="dxa"/>
            <w:vAlign w:val="bottom"/>
          </w:tcPr>
          <w:p>
            <w:pPr>
              <w:jc w:val="center"/>
              <w:ind w:right="3"/>
              <w:spacing w:after="0"/>
              <w:rPr>
                <w:sz w:val="20"/>
                <w:szCs w:val="20"/>
                <w:color w:val="auto"/>
              </w:rPr>
            </w:pPr>
            <w:r>
              <w:rPr>
                <w:rFonts w:ascii="Arial" w:cs="Arial" w:eastAsia="Arial" w:hAnsi="Arial"/>
                <w:sz w:val="11"/>
                <w:szCs w:val="11"/>
                <w:b w:val="1"/>
                <w:bCs w:val="1"/>
                <w:color w:val="auto"/>
                <w:w w:val="95"/>
              </w:rPr>
              <w:t>Delaware</w:t>
            </w:r>
          </w:p>
        </w:tc>
        <w:tc>
          <w:tcPr>
            <w:tcW w:w="5180" w:type="dxa"/>
            <w:vAlign w:val="bottom"/>
            <w:gridSpan w:val="3"/>
          </w:tcPr>
          <w:p>
            <w:pPr>
              <w:jc w:val="right"/>
              <w:ind w:right="203"/>
              <w:spacing w:after="0"/>
              <w:rPr>
                <w:sz w:val="20"/>
                <w:szCs w:val="20"/>
                <w:color w:val="auto"/>
              </w:rPr>
            </w:pPr>
            <w:r>
              <w:rPr>
                <w:rFonts w:ascii="Arial" w:cs="Arial" w:eastAsia="Arial" w:hAnsi="Arial"/>
                <w:sz w:val="11"/>
                <w:szCs w:val="11"/>
                <w:b w:val="1"/>
                <w:bCs w:val="1"/>
                <w:color w:val="auto"/>
              </w:rPr>
              <w:t>36-4673192</w:t>
            </w:r>
          </w:p>
        </w:tc>
      </w:tr>
      <w:tr>
        <w:trPr>
          <w:trHeight w:val="134"/>
        </w:trPr>
        <w:tc>
          <w:tcPr>
            <w:tcW w:w="2120" w:type="dxa"/>
            <w:vAlign w:val="bottom"/>
          </w:tcPr>
          <w:p>
            <w:pPr>
              <w:jc w:val="center"/>
              <w:ind w:right="3"/>
              <w:spacing w:after="0"/>
              <w:rPr>
                <w:sz w:val="20"/>
                <w:szCs w:val="20"/>
                <w:color w:val="auto"/>
              </w:rPr>
            </w:pPr>
            <w:r>
              <w:rPr>
                <w:rFonts w:ascii="Arial" w:cs="Arial" w:eastAsia="Arial" w:hAnsi="Arial"/>
                <w:sz w:val="11"/>
                <w:szCs w:val="11"/>
                <w:color w:val="auto"/>
                <w:w w:val="97"/>
              </w:rPr>
              <w:t>(State or other jurisdiction of</w:t>
            </w:r>
          </w:p>
        </w:tc>
        <w:tc>
          <w:tcPr>
            <w:tcW w:w="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800" w:type="dxa"/>
            <w:vAlign w:val="bottom"/>
          </w:tcPr>
          <w:p>
            <w:pPr>
              <w:jc w:val="center"/>
              <w:ind w:left="663"/>
              <w:spacing w:after="0"/>
              <w:rPr>
                <w:sz w:val="20"/>
                <w:szCs w:val="20"/>
                <w:color w:val="auto"/>
              </w:rPr>
            </w:pPr>
            <w:r>
              <w:rPr>
                <w:rFonts w:ascii="Arial" w:cs="Arial" w:eastAsia="Arial" w:hAnsi="Arial"/>
                <w:sz w:val="11"/>
                <w:szCs w:val="11"/>
                <w:color w:val="auto"/>
                <w:w w:val="99"/>
              </w:rPr>
              <w:t>(I.R.S. Employer</w:t>
            </w:r>
          </w:p>
        </w:tc>
      </w:tr>
      <w:tr>
        <w:trPr>
          <w:trHeight w:val="146"/>
        </w:trPr>
        <w:tc>
          <w:tcPr>
            <w:tcW w:w="2120" w:type="dxa"/>
            <w:vAlign w:val="bottom"/>
          </w:tcPr>
          <w:p>
            <w:pPr>
              <w:jc w:val="center"/>
              <w:ind w:right="3"/>
              <w:spacing w:after="0"/>
              <w:rPr>
                <w:sz w:val="20"/>
                <w:szCs w:val="20"/>
                <w:color w:val="auto"/>
              </w:rPr>
            </w:pPr>
            <w:r>
              <w:rPr>
                <w:rFonts w:ascii="Arial" w:cs="Arial" w:eastAsia="Arial" w:hAnsi="Arial"/>
                <w:sz w:val="11"/>
                <w:szCs w:val="11"/>
                <w:color w:val="auto"/>
                <w:w w:val="96"/>
              </w:rPr>
              <w:t>incorporation or organization)</w:t>
            </w:r>
          </w:p>
        </w:tc>
        <w:tc>
          <w:tcPr>
            <w:tcW w:w="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00" w:type="dxa"/>
            <w:vAlign w:val="bottom"/>
          </w:tcPr>
          <w:p>
            <w:pPr>
              <w:jc w:val="center"/>
              <w:ind w:left="663"/>
              <w:spacing w:after="0"/>
              <w:rPr>
                <w:sz w:val="20"/>
                <w:szCs w:val="20"/>
                <w:color w:val="auto"/>
              </w:rPr>
            </w:pPr>
            <w:r>
              <w:rPr>
                <w:rFonts w:ascii="Arial" w:cs="Arial" w:eastAsia="Arial" w:hAnsi="Arial"/>
                <w:sz w:val="11"/>
                <w:szCs w:val="11"/>
                <w:color w:val="auto"/>
              </w:rPr>
              <w:t>Identification Number)</w:t>
            </w:r>
          </w:p>
        </w:tc>
      </w:tr>
      <w:tr>
        <w:trPr>
          <w:trHeight w:val="162"/>
        </w:trPr>
        <w:tc>
          <w:tcPr>
            <w:tcW w:w="2120" w:type="dxa"/>
            <w:vAlign w:val="bottom"/>
          </w:tcPr>
          <w:p>
            <w:pPr>
              <w:jc w:val="center"/>
              <w:ind w:right="3"/>
              <w:spacing w:after="0"/>
              <w:rPr>
                <w:sz w:val="20"/>
                <w:szCs w:val="20"/>
                <w:color w:val="auto"/>
              </w:rPr>
            </w:pPr>
            <w:r>
              <w:rPr>
                <w:rFonts w:ascii="Arial" w:cs="Arial" w:eastAsia="Arial" w:hAnsi="Arial"/>
                <w:sz w:val="11"/>
                <w:szCs w:val="11"/>
                <w:b w:val="1"/>
                <w:bCs w:val="1"/>
                <w:color w:val="auto"/>
                <w:w w:val="94"/>
              </w:rPr>
              <w:t>13355 Noel Road, 22</w:t>
            </w:r>
            <w:r>
              <w:rPr>
                <w:rFonts w:ascii="Arial" w:cs="Arial" w:eastAsia="Arial" w:hAnsi="Arial"/>
                <w:sz w:val="5"/>
                <w:szCs w:val="5"/>
                <w:b w:val="1"/>
                <w:bCs w:val="1"/>
                <w:color w:val="auto"/>
                <w:w w:val="94"/>
              </w:rPr>
              <w:t>nd</w:t>
            </w:r>
            <w:r>
              <w:rPr>
                <w:rFonts w:ascii="Arial" w:cs="Arial" w:eastAsia="Arial" w:hAnsi="Arial"/>
                <w:sz w:val="11"/>
                <w:szCs w:val="11"/>
                <w:b w:val="1"/>
                <w:bCs w:val="1"/>
                <w:color w:val="auto"/>
                <w:w w:val="94"/>
              </w:rPr>
              <w:t xml:space="preserve"> Floor, Dallas, Texas</w:t>
            </w:r>
          </w:p>
        </w:tc>
        <w:tc>
          <w:tcPr>
            <w:tcW w:w="5180" w:type="dxa"/>
            <w:vAlign w:val="bottom"/>
            <w:gridSpan w:val="3"/>
          </w:tcPr>
          <w:p>
            <w:pPr>
              <w:jc w:val="right"/>
              <w:ind w:right="343"/>
              <w:spacing w:after="0"/>
              <w:rPr>
                <w:sz w:val="20"/>
                <w:szCs w:val="20"/>
                <w:color w:val="auto"/>
              </w:rPr>
            </w:pPr>
            <w:r>
              <w:rPr>
                <w:rFonts w:ascii="Arial" w:cs="Arial" w:eastAsia="Arial" w:hAnsi="Arial"/>
                <w:sz w:val="11"/>
                <w:szCs w:val="11"/>
                <w:b w:val="1"/>
                <w:bCs w:val="1"/>
                <w:color w:val="auto"/>
              </w:rPr>
              <w:t>75240</w:t>
            </w:r>
          </w:p>
        </w:tc>
      </w:tr>
      <w:tr>
        <w:trPr>
          <w:trHeight w:val="162"/>
        </w:trPr>
        <w:tc>
          <w:tcPr>
            <w:tcW w:w="2120" w:type="dxa"/>
            <w:vAlign w:val="bottom"/>
          </w:tcPr>
          <w:p>
            <w:pPr>
              <w:jc w:val="center"/>
              <w:ind w:right="3"/>
              <w:spacing w:after="0"/>
              <w:rPr>
                <w:sz w:val="20"/>
                <w:szCs w:val="20"/>
                <w:color w:val="auto"/>
              </w:rPr>
            </w:pPr>
            <w:r>
              <w:rPr>
                <w:rFonts w:ascii="Arial" w:cs="Arial" w:eastAsia="Arial" w:hAnsi="Arial"/>
                <w:sz w:val="11"/>
                <w:szCs w:val="11"/>
                <w:color w:val="auto"/>
                <w:w w:val="96"/>
              </w:rPr>
              <w:t>(Address of principal executive offices)</w:t>
            </w:r>
          </w:p>
        </w:tc>
        <w:tc>
          <w:tcPr>
            <w:tcW w:w="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0" w:type="dxa"/>
            <w:vAlign w:val="bottom"/>
          </w:tcPr>
          <w:p>
            <w:pPr>
              <w:jc w:val="center"/>
              <w:ind w:left="663"/>
              <w:spacing w:after="0"/>
              <w:rPr>
                <w:sz w:val="20"/>
                <w:szCs w:val="20"/>
                <w:color w:val="auto"/>
              </w:rPr>
            </w:pPr>
            <w:r>
              <w:rPr>
                <w:rFonts w:ascii="Arial" w:cs="Arial" w:eastAsia="Arial" w:hAnsi="Arial"/>
                <w:sz w:val="11"/>
                <w:szCs w:val="11"/>
                <w:color w:val="auto"/>
                <w:w w:val="99"/>
              </w:rPr>
              <w:t>(Zip Code)</w:t>
            </w:r>
          </w:p>
        </w:tc>
      </w:tr>
    </w:tbl>
    <w:p>
      <w:pPr>
        <w:spacing w:after="0" w:line="13" w:lineRule="exact"/>
        <w:rPr>
          <w:sz w:val="24"/>
          <w:szCs w:val="24"/>
          <w:color w:val="auto"/>
        </w:rPr>
      </w:pPr>
    </w:p>
    <w:p>
      <w:pPr>
        <w:jc w:val="center"/>
        <w:spacing w:after="0" w:line="127" w:lineRule="exact"/>
        <w:rPr>
          <w:sz w:val="20"/>
          <w:szCs w:val="20"/>
          <w:color w:val="auto"/>
        </w:rPr>
      </w:pPr>
      <w:r>
        <w:rPr>
          <w:rFonts w:ascii="Arial" w:cs="Arial" w:eastAsia="Arial" w:hAnsi="Arial"/>
          <w:sz w:val="11"/>
          <w:szCs w:val="11"/>
          <w:b w:val="1"/>
          <w:bCs w:val="1"/>
          <w:color w:val="auto"/>
        </w:rPr>
        <w:t>(214) 741</w:t>
      </w:r>
      <w:r>
        <w:rPr>
          <w:rFonts w:ascii="MS PGothic" w:cs="MS PGothic" w:eastAsia="MS PGothic" w:hAnsi="MS PGothic"/>
          <w:sz w:val="11"/>
          <w:szCs w:val="11"/>
          <w:b w:val="1"/>
          <w:bCs w:val="1"/>
          <w:color w:val="auto"/>
        </w:rPr>
        <w:t>‑</w:t>
      </w:r>
      <w:r>
        <w:rPr>
          <w:rFonts w:ascii="Arial" w:cs="Arial" w:eastAsia="Arial" w:hAnsi="Arial"/>
          <w:sz w:val="11"/>
          <w:szCs w:val="11"/>
          <w:b w:val="1"/>
          <w:bCs w:val="1"/>
          <w:color w:val="auto"/>
        </w:rPr>
        <w:t>7744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Title of Each Class:</w:t>
            </w:r>
          </w:p>
        </w:tc>
        <w:tc>
          <w:tcPr>
            <w:tcW w:w="4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54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w w:val="93"/>
              </w:rPr>
              <w:t>Name of Each Exchange on Which Registered:</w:t>
            </w:r>
          </w:p>
        </w:tc>
      </w:tr>
      <w:tr>
        <w:trPr>
          <w:trHeight w:val="148"/>
        </w:trPr>
        <w:tc>
          <w:tcPr>
            <w:tcW w:w="5920" w:type="dxa"/>
            <w:vAlign w:val="bottom"/>
            <w:gridSpan w:val="3"/>
          </w:tcPr>
          <w:p>
            <w:pPr>
              <w:jc w:val="center"/>
              <w:ind w:right="520"/>
              <w:spacing w:after="0"/>
              <w:rPr>
                <w:sz w:val="20"/>
                <w:szCs w:val="20"/>
                <w:color w:val="auto"/>
              </w:rPr>
            </w:pPr>
            <w:r>
              <w:rPr>
                <w:rFonts w:ascii="Arial" w:cs="Arial" w:eastAsia="Arial" w:hAnsi="Arial"/>
                <w:sz w:val="11"/>
                <w:szCs w:val="11"/>
                <w:b w:val="1"/>
                <w:bCs w:val="1"/>
                <w:color w:val="auto"/>
                <w:w w:val="95"/>
              </w:rPr>
              <w:t>Common Stock, $.01 par value</w:t>
            </w:r>
          </w:p>
        </w:tc>
        <w:tc>
          <w:tcPr>
            <w:tcW w:w="5540" w:type="dxa"/>
            <w:vAlign w:val="bottom"/>
          </w:tcPr>
          <w:p>
            <w:pPr>
              <w:jc w:val="center"/>
              <w:ind w:right="3"/>
              <w:spacing w:after="0"/>
              <w:rPr>
                <w:sz w:val="20"/>
                <w:szCs w:val="20"/>
                <w:color w:val="auto"/>
              </w:rPr>
            </w:pPr>
            <w:r>
              <w:rPr>
                <w:rFonts w:ascii="Arial" w:cs="Arial" w:eastAsia="Arial" w:hAnsi="Arial"/>
                <w:sz w:val="11"/>
                <w:szCs w:val="11"/>
                <w:b w:val="1"/>
                <w:bCs w:val="1"/>
                <w:color w:val="auto"/>
                <w:w w:val="92"/>
              </w:rPr>
              <w:t>New York Stock Exchange</w:t>
            </w:r>
          </w:p>
        </w:tc>
      </w:tr>
      <w:tr>
        <w:trPr>
          <w:trHeight w:val="162"/>
        </w:trPr>
        <w:tc>
          <w:tcPr>
            <w:tcW w:w="11460" w:type="dxa"/>
            <w:vAlign w:val="bottom"/>
            <w:gridSpan w:val="4"/>
          </w:tcPr>
          <w:p>
            <w:pPr>
              <w:ind w:left="4240"/>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tc>
      </w:tr>
      <w:tr>
        <w:trPr>
          <w:trHeight w:val="248"/>
        </w:trPr>
        <w:tc>
          <w:tcPr>
            <w:tcW w:w="5920" w:type="dxa"/>
            <w:vAlign w:val="bottom"/>
            <w:gridSpan w:val="3"/>
          </w:tcPr>
          <w:p>
            <w:pPr>
              <w:spacing w:after="0"/>
              <w:rPr>
                <w:sz w:val="20"/>
                <w:szCs w:val="20"/>
                <w:color w:val="auto"/>
              </w:rPr>
            </w:pPr>
            <w:r>
              <w:rPr>
                <w:rFonts w:ascii="Arial" w:cs="Arial" w:eastAsia="Arial" w:hAnsi="Arial"/>
                <w:sz w:val="11"/>
                <w:szCs w:val="11"/>
                <w:color w:val="auto"/>
                <w:w w:val="96"/>
              </w:rPr>
              <w:t>Indicate by check mark if the registrant is a well-known seasoned issuer, as defined in Rule 405 of the Securities Act.  YES [X]</w:t>
            </w:r>
          </w:p>
        </w:tc>
        <w:tc>
          <w:tcPr>
            <w:tcW w:w="5540" w:type="dxa"/>
            <w:vAlign w:val="bottom"/>
          </w:tcPr>
          <w:p>
            <w:pPr>
              <w:ind w:left="20"/>
              <w:spacing w:after="0"/>
              <w:rPr>
                <w:sz w:val="20"/>
                <w:szCs w:val="20"/>
                <w:color w:val="auto"/>
              </w:rPr>
            </w:pPr>
            <w:r>
              <w:rPr>
                <w:rFonts w:ascii="Arial" w:cs="Arial" w:eastAsia="Arial" w:hAnsi="Arial"/>
                <w:sz w:val="11"/>
                <w:szCs w:val="11"/>
                <w:color w:val="auto"/>
              </w:rPr>
              <w:t>NO [  ]</w:t>
            </w:r>
          </w:p>
        </w:tc>
      </w:tr>
      <w:tr>
        <w:trPr>
          <w:trHeight w:val="237"/>
        </w:trPr>
        <w:tc>
          <w:tcPr>
            <w:tcW w:w="5920" w:type="dxa"/>
            <w:vAlign w:val="bottom"/>
            <w:gridSpan w:val="3"/>
          </w:tcPr>
          <w:p>
            <w:pPr>
              <w:spacing w:after="0"/>
              <w:rPr>
                <w:sz w:val="20"/>
                <w:szCs w:val="20"/>
                <w:color w:val="auto"/>
              </w:rPr>
            </w:pPr>
            <w:r>
              <w:rPr>
                <w:rFonts w:ascii="Arial" w:cs="Arial" w:eastAsia="Arial" w:hAnsi="Arial"/>
                <w:sz w:val="11"/>
                <w:szCs w:val="11"/>
                <w:color w:val="auto"/>
                <w:w w:val="96"/>
              </w:rPr>
              <w:t>Indicate by check mark if the registrant is not required to file reports pursuant to Section 13 or Section 15(d) of the Act.  YES [</w:t>
            </w:r>
          </w:p>
        </w:tc>
        <w:tc>
          <w:tcPr>
            <w:tcW w:w="5540" w:type="dxa"/>
            <w:vAlign w:val="bottom"/>
          </w:tcPr>
          <w:p>
            <w:pPr>
              <w:ind w:left="40"/>
              <w:spacing w:after="0"/>
              <w:rPr>
                <w:sz w:val="20"/>
                <w:szCs w:val="20"/>
                <w:color w:val="auto"/>
              </w:rPr>
            </w:pPr>
            <w:r>
              <w:rPr>
                <w:rFonts w:ascii="Arial" w:cs="Arial" w:eastAsia="Arial" w:hAnsi="Arial"/>
                <w:sz w:val="11"/>
                <w:szCs w:val="11"/>
                <w:color w:val="auto"/>
              </w:rPr>
              <w:t>] NO [X]</w:t>
            </w:r>
          </w:p>
        </w:tc>
      </w:tr>
    </w:tbl>
    <w:p>
      <w:pPr>
        <w:spacing w:after="0" w:line="91" w:lineRule="exact"/>
        <w:rPr>
          <w:sz w:val="24"/>
          <w:szCs w:val="24"/>
          <w:color w:val="auto"/>
        </w:rPr>
      </w:pPr>
    </w:p>
    <w:p>
      <w:pPr>
        <w:jc w:val="both"/>
        <w:spacing w:after="0" w:line="283"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68" w:lineRule="exact"/>
        <w:rPr>
          <w:sz w:val="24"/>
          <w:szCs w:val="24"/>
          <w:color w:val="auto"/>
        </w:rPr>
      </w:pPr>
    </w:p>
    <w:p>
      <w:pPr>
        <w:jc w:val="both"/>
        <w:spacing w:after="0" w:line="283"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68" w:lineRule="exact"/>
        <w:rPr>
          <w:sz w:val="24"/>
          <w:szCs w:val="24"/>
          <w:color w:val="auto"/>
        </w:rPr>
      </w:pPr>
    </w:p>
    <w:p>
      <w:pPr>
        <w:jc w:val="both"/>
        <w:spacing w:after="0" w:line="283" w:lineRule="auto"/>
        <w:rPr>
          <w:sz w:val="20"/>
          <w:szCs w:val="20"/>
          <w:color w:val="auto"/>
        </w:rPr>
      </w:pPr>
      <w:r>
        <w:rPr>
          <w:rFonts w:ascii="Arial" w:cs="Arial" w:eastAsia="Arial" w:hAnsi="Arial"/>
          <w:sz w:val="11"/>
          <w:szCs w:val="11"/>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68" w:lineRule="exact"/>
        <w:rPr>
          <w:sz w:val="24"/>
          <w:szCs w:val="24"/>
          <w:color w:val="auto"/>
        </w:rPr>
      </w:pPr>
    </w:p>
    <w:p>
      <w:pPr>
        <w:jc w:val="both"/>
        <w:spacing w:after="0" w:line="28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0"/>
          </w:cols>
          <w:pgMar w:left="220" w:top="575" w:right="219" w:bottom="1440" w:gutter="0" w:footer="0" w:header="0"/>
          <w:type w:val="continuous"/>
        </w:sectPr>
      </w:pPr>
    </w:p>
    <w:p>
      <w:pPr>
        <w:spacing w:after="0" w:line="144" w:lineRule="exact"/>
        <w:rPr>
          <w:sz w:val="24"/>
          <w:szCs w:val="24"/>
          <w:color w:val="auto"/>
        </w:rPr>
      </w:pPr>
    </w:p>
    <w:p>
      <w:pPr>
        <w:ind w:left="20"/>
        <w:spacing w:after="0"/>
        <w:rPr>
          <w:sz w:val="20"/>
          <w:szCs w:val="20"/>
          <w:color w:val="auto"/>
        </w:rPr>
      </w:pPr>
      <w:r>
        <w:rPr>
          <w:rFonts w:ascii="Arial" w:cs="Arial" w:eastAsia="Arial" w:hAnsi="Arial"/>
          <w:sz w:val="10"/>
          <w:szCs w:val="10"/>
          <w:color w:val="auto"/>
        </w:rPr>
        <w:t>Large accelerated filer  [X]</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4800"/>
        <w:spacing w:after="0"/>
        <w:rPr>
          <w:sz w:val="20"/>
          <w:szCs w:val="20"/>
          <w:color w:val="auto"/>
        </w:rPr>
      </w:pPr>
      <w:r>
        <w:rPr>
          <w:rFonts w:ascii="Arial" w:cs="Arial" w:eastAsia="Arial" w:hAnsi="Arial"/>
          <w:sz w:val="11"/>
          <w:szCs w:val="11"/>
          <w:color w:val="auto"/>
        </w:rPr>
        <w:t>Accelerated filer  [  ]</w:t>
      </w:r>
    </w:p>
    <w:p>
      <w:pPr>
        <w:spacing w:after="0" w:line="35" w:lineRule="exact"/>
        <w:rPr>
          <w:sz w:val="24"/>
          <w:szCs w:val="24"/>
          <w:color w:val="auto"/>
        </w:rPr>
      </w:pPr>
    </w:p>
    <w:p>
      <w:pPr>
        <w:sectPr>
          <w:pgSz w:w="11900" w:h="16838" w:orient="portrait"/>
          <w:cols w:equalWidth="0" w:num="2">
            <w:col w:w="4920" w:space="720"/>
            <w:col w:w="5820"/>
          </w:cols>
          <w:pgMar w:left="220" w:top="575" w:right="219" w:bottom="1440" w:gutter="0" w:footer="0" w:header="0"/>
          <w:type w:val="continuous"/>
        </w:sectPr>
      </w:pPr>
    </w:p>
    <w:p>
      <w:pPr>
        <w:ind w:left="20"/>
        <w:spacing w:after="0"/>
        <w:rPr>
          <w:sz w:val="20"/>
          <w:szCs w:val="20"/>
          <w:color w:val="auto"/>
        </w:rPr>
      </w:pPr>
      <w:r>
        <w:rPr>
          <w:rFonts w:ascii="Arial" w:cs="Arial" w:eastAsia="Arial" w:hAnsi="Arial"/>
          <w:sz w:val="11"/>
          <w:szCs w:val="11"/>
          <w:color w:val="auto"/>
        </w:rPr>
        <w:t>Non-accelerated filer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Smaller reporting company  [  ]</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Arial" w:cs="Arial" w:eastAsia="Arial" w:hAnsi="Arial"/>
          <w:sz w:val="11"/>
          <w:szCs w:val="11"/>
          <w:color w:val="auto"/>
        </w:rPr>
        <w:t>Emerging Growth Company [  ]</w:t>
      </w:r>
    </w:p>
    <w:p>
      <w:pPr>
        <w:spacing w:after="0" w:line="100" w:lineRule="exact"/>
        <w:rPr>
          <w:sz w:val="24"/>
          <w:szCs w:val="24"/>
          <w:color w:val="auto"/>
        </w:rPr>
      </w:pPr>
    </w:p>
    <w:p>
      <w:pPr>
        <w:sectPr>
          <w:pgSz w:w="11900" w:h="16838" w:orient="portrait"/>
          <w:cols w:equalWidth="0" w:num="3">
            <w:col w:w="4920" w:space="720"/>
            <w:col w:w="2140" w:space="720"/>
            <w:col w:w="2960"/>
          </w:cols>
          <w:pgMar w:left="220" w:top="575" w:right="219" w:bottom="1440" w:gutter="0" w:footer="0" w:header="0"/>
          <w:type w:val="continuous"/>
        </w:sectPr>
      </w:pPr>
    </w:p>
    <w:p>
      <w:pPr>
        <w:spacing w:after="0" w:line="283"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47"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  ] NO [X]</w:t>
      </w:r>
    </w:p>
    <w:p>
      <w:pPr>
        <w:spacing w:after="0" w:line="89" w:lineRule="exact"/>
        <w:rPr>
          <w:sz w:val="24"/>
          <w:szCs w:val="24"/>
          <w:color w:val="auto"/>
        </w:rPr>
      </w:pPr>
    </w:p>
    <w:p>
      <w:pPr>
        <w:spacing w:after="0"/>
        <w:rPr>
          <w:sz w:val="20"/>
          <w:szCs w:val="20"/>
          <w:color w:val="auto"/>
        </w:rPr>
      </w:pPr>
      <w:r>
        <w:rPr>
          <w:rFonts w:ascii="Arial" w:cs="Arial" w:eastAsia="Arial" w:hAnsi="Arial"/>
          <w:sz w:val="11"/>
          <w:szCs w:val="11"/>
          <w:color w:val="auto"/>
        </w:rPr>
        <w:t>As of June 30, 2018, the aggregate market value of the registrant’s common stock held by non-affiliates of the registrant was approximately $4.5 billion based on the closing sale price as reported on the New York Stock Exchange.</w:t>
      </w:r>
    </w:p>
    <w:p>
      <w:pPr>
        <w:spacing w:after="0" w:line="89" w:lineRule="exact"/>
        <w:rPr>
          <w:sz w:val="24"/>
          <w:szCs w:val="24"/>
          <w:color w:val="auto"/>
        </w:rPr>
      </w:pPr>
    </w:p>
    <w:p>
      <w:pPr>
        <w:spacing w:after="0"/>
        <w:rPr>
          <w:sz w:val="20"/>
          <w:szCs w:val="20"/>
          <w:color w:val="auto"/>
        </w:rPr>
      </w:pPr>
      <w:r>
        <w:rPr>
          <w:rFonts w:ascii="Arial" w:cs="Arial" w:eastAsia="Arial" w:hAnsi="Arial"/>
          <w:sz w:val="11"/>
          <w:szCs w:val="11"/>
          <w:color w:val="auto"/>
        </w:rPr>
        <w:t>As of March 11, 2019, there were 43,129,833 shares of the registrant’s common stock outstanding.</w:t>
      </w:r>
    </w:p>
    <w:p>
      <w:pPr>
        <w:spacing w:after="0" w:line="87"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DOCUMENTS INCORPORATED BY REFERENCE</w:t>
      </w:r>
    </w:p>
    <w:p>
      <w:pPr>
        <w:spacing w:after="0" w:line="199" w:lineRule="exact"/>
        <w:rPr>
          <w:sz w:val="24"/>
          <w:szCs w:val="24"/>
          <w:color w:val="auto"/>
        </w:rPr>
      </w:pPr>
    </w:p>
    <w:p>
      <w:pPr>
        <w:spacing w:after="0" w:line="283" w:lineRule="auto"/>
        <w:rPr>
          <w:sz w:val="20"/>
          <w:szCs w:val="20"/>
          <w:color w:val="auto"/>
        </w:rPr>
      </w:pPr>
      <w:r>
        <w:rPr>
          <w:rFonts w:ascii="Arial" w:cs="Arial" w:eastAsia="Arial" w:hAnsi="Arial"/>
          <w:sz w:val="11"/>
          <w:szCs w:val="11"/>
          <w:color w:val="auto"/>
        </w:rPr>
        <w:t>Portions of the registrant’s Proxy Statement for its 2019 Annual Meeting of Stockholders are incorporated by reference in Items 10, 11, 12, 13 and 14 of Part III of our Annual Report on Form 10-K. The registrant intends to file its Proxy Statement with the Securities and Exchange Commission within 120 days of the registrant’s fiscal year ended December 31, 2018.</w:t>
      </w:r>
    </w:p>
    <w:p>
      <w:pPr>
        <w:sectPr>
          <w:pgSz w:w="11900" w:h="16838" w:orient="portrait"/>
          <w:cols w:equalWidth="0" w:num="1">
            <w:col w:w="11460"/>
          </w:cols>
          <w:pgMar w:left="220" w:top="575"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Explanatory Note</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This Amendment No. 1 to the Annual Report on Form 10-K/A amends the Annual Report on Form 10-K for the year ended December 31, 2018 of The Howard Hughes Corporation (the “Company”), which was filed with the Securities and Exchange Commission on February 27, 2019. This Form 10-K/A is being filed for the purpose of providing separate audited and unaudited consolidated financial statements of DLV/HHPI Summerlin, LLC (“The Summit”), our joint venture with Discovery Land Company ("Discovery"), in accordance with Rule 3-09 of Regulation S-X. The Summit's audited Consolidated Financial Statements as of December 31, 2018 and for the year ended December 31, 2018, unaudited Consolidated Financial Statements as of December 31, 2017 and for each of the years ended December 31, 2017 and 2016, and Report of Independent Auditors, are filed as Exhibit 99.1 and are included as financial statement schedules in Item 15, “Exhibits and Financial Statement Schedules,” of this Form 10-K/A. The consolidated financial statements of The Summit as of and for the year ended December 31, 2018 were not available at the time that the Company filed its Annual Report on Form 10-K on February 27, 2019. The consent of Ernst &amp; Young LLP, independent auditors for the Company, is also filed as an exhibit to this Amendment No. 1 to the Annual Report on Form 10-K/A. In addition, this Form 10-K/A includes an updated exhibit index in respect thereof and certifications under Section 302 and 906 of the Sarbanes-Oxley Act of 2002. Except as described above, this Amendment No. 1 on Form 10-K/A is not intended to update or modify any other information presented in the Company's Annual Report on Form 10-K for the fiscal year ended December 31, 2018, as originally filed. This Amendment No. 1 does not update or modify in any way the financial position, results of operations, cash flows or related disclosures in the Company's Annual Report on Form 10-K and does not reflect events occurring after the Form 10-K’s original filing date of February 27, 2019. Accordingly, this Form 10-K/A should be read in conjunction with our other filings made with the SEC subsequent to the filing of our Annual Report on Form 10-K for the year ended December 31, 2018.</w:t>
      </w:r>
    </w:p>
    <w:p>
      <w:pPr>
        <w:sectPr>
          <w:pgSz w:w="11900" w:h="16838" w:orient="portrait"/>
          <w:cols w:equalWidth="0" w:num="1">
            <w:col w:w="11460"/>
          </w:cols>
          <w:pgMar w:left="220" w:top="491"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IV</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w:t>
      </w:r>
    </w:p>
    <w:p>
      <w:pPr>
        <w:spacing w:after="0" w:line="209" w:lineRule="exact"/>
        <w:rPr>
          <w:sz w:val="20"/>
          <w:szCs w:val="20"/>
          <w:color w:val="auto"/>
        </w:rPr>
      </w:pPr>
    </w:p>
    <w:p>
      <w:pPr>
        <w:ind w:left="680" w:hanging="674"/>
        <w:spacing w:after="0"/>
        <w:tabs>
          <w:tab w:leader="none" w:pos="680" w:val="left"/>
        </w:tabs>
        <w:numPr>
          <w:ilvl w:val="0"/>
          <w:numId w:val="1"/>
        </w:numPr>
        <w:rPr>
          <w:rFonts w:ascii="Arial" w:cs="Arial" w:eastAsia="Arial" w:hAnsi="Arial"/>
          <w:sz w:val="14"/>
          <w:szCs w:val="14"/>
          <w:color w:val="auto"/>
        </w:rPr>
      </w:pPr>
      <w:r>
        <w:rPr>
          <w:rFonts w:ascii="Arial" w:cs="Arial" w:eastAsia="Arial" w:hAnsi="Arial"/>
          <w:sz w:val="14"/>
          <w:szCs w:val="14"/>
          <w:color w:val="auto"/>
        </w:rPr>
        <w:t>Financial Statements and Financial Statement Schedule.</w:t>
      </w:r>
    </w:p>
    <w:p>
      <w:pPr>
        <w:spacing w:after="0" w:line="19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Consolidated Financial Statements and Schedule listed in the accompanying Index to Consolidated Financial Statements and Financial Statement Schedule were previously filed with the Annual Report on Form 10-K for the year ended December 31, 2018, filed on February 27, 2019.</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financial statements are included in this Amendment No. 1 to Annual Report on Form 10-K/A pursuant to Rule 3-09 of Regulation S-K.</w:t>
      </w:r>
    </w:p>
    <w:p>
      <w:pPr>
        <w:spacing w:after="0" w:line="76" w:lineRule="exact"/>
        <w:rPr>
          <w:sz w:val="20"/>
          <w:szCs w:val="20"/>
          <w:color w:val="auto"/>
        </w:rPr>
      </w:pPr>
    </w:p>
    <w:p>
      <w:pPr>
        <w:ind w:left="520" w:right="600"/>
        <w:spacing w:after="0" w:line="288" w:lineRule="auto"/>
        <w:rPr>
          <w:sz w:val="20"/>
          <w:szCs w:val="20"/>
          <w:color w:val="auto"/>
        </w:rPr>
      </w:pPr>
      <w:r>
        <w:rPr>
          <w:rFonts w:ascii="Arial" w:cs="Arial" w:eastAsia="Arial" w:hAnsi="Arial"/>
          <w:sz w:val="14"/>
          <w:szCs w:val="14"/>
          <w:color w:val="auto"/>
        </w:rPr>
        <w:t>DLV/HHPI Summerlin, LLC audited Consolidated Financial Statements as of December 31, 2018 and for the year ended December 31, 2018 and unaudited Consolidated Financial Statements as of December 31, 2017, and for the years ended December 31, 2017 and 2016</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No additional financial statement schedules are presented since the required information is not present or not present in amounts sufficient to require submission of the schedule or because the information required has been enclosed in the Consolidated Financial Statements and notes thereto.</w:t>
      </w:r>
    </w:p>
    <w:p>
      <w:pPr>
        <w:spacing w:after="0" w:line="152" w:lineRule="exact"/>
        <w:rPr>
          <w:sz w:val="20"/>
          <w:szCs w:val="20"/>
          <w:color w:val="auto"/>
        </w:rPr>
      </w:pPr>
    </w:p>
    <w:p>
      <w:pPr>
        <w:ind w:left="700" w:hanging="694"/>
        <w:spacing w:after="0"/>
        <w:tabs>
          <w:tab w:leader="none" w:pos="70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Exhibits required by Item 601 of Regulation S-K: The exhibits filed in response to this item are listed in the Exhibit Index.</w:t>
      </w:r>
    </w:p>
    <w:p>
      <w:pPr>
        <w:sectPr>
          <w:pgSz w:w="11900" w:h="16838" w:orient="portrait"/>
          <w:cols w:equalWidth="0" w:num="1">
            <w:col w:w="11460"/>
          </w:cols>
          <w:pgMar w:left="220" w:top="556"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56"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HOWARD HUGHES CORPORATION</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David R. Weinreb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20389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8985"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David R. Weinreb</w:t>
      </w:r>
    </w:p>
    <w:p>
      <w:pPr>
        <w:spacing w:after="0" w:line="55" w:lineRule="exact"/>
        <w:rPr>
          <w:sz w:val="20"/>
          <w:szCs w:val="20"/>
          <w:color w:val="auto"/>
        </w:rPr>
      </w:pPr>
    </w:p>
    <w:p>
      <w:pPr>
        <w:ind w:left="20"/>
        <w:spacing w:after="0"/>
        <w:tabs>
          <w:tab w:leader="none" w:pos="10500" w:val="left"/>
        </w:tabs>
        <w:rPr>
          <w:sz w:val="20"/>
          <w:szCs w:val="20"/>
          <w:color w:val="auto"/>
        </w:rPr>
      </w:pPr>
      <w:r>
        <w:rPr>
          <w:rFonts w:ascii="Arial" w:cs="Arial" w:eastAsia="Arial" w:hAnsi="Arial"/>
          <w:sz w:val="14"/>
          <w:szCs w:val="14"/>
          <w:i w:val="1"/>
          <w:iCs w:val="1"/>
          <w:color w:val="auto"/>
        </w:rPr>
        <w:t>Chief Executive Officer</w:t>
      </w:r>
      <w:r>
        <w:rPr>
          <w:sz w:val="20"/>
          <w:szCs w:val="20"/>
          <w:color w:val="auto"/>
        </w:rPr>
        <w:tab/>
      </w:r>
      <w:r>
        <w:rPr>
          <w:rFonts w:ascii="Arial" w:cs="Arial" w:eastAsia="Arial" w:hAnsi="Arial"/>
          <w:sz w:val="13"/>
          <w:szCs w:val="13"/>
          <w:color w:val="auto"/>
        </w:rPr>
        <w:t>March 15, 2019</w:t>
      </w:r>
    </w:p>
    <w:p>
      <w:pPr>
        <w:sectPr>
          <w:pgSz w:w="11900" w:h="16838" w:orient="portrait"/>
          <w:cols w:equalWidth="0" w:num="1">
            <w:col w:w="11460"/>
          </w:cols>
          <w:pgMar w:left="220" w:top="491" w:right="2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ITEM 15. EXHIBITS, FINANCIAL STATEMENT SCHEDULE</w:t>
      </w: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14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13"/>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84"/>
        </w:trPr>
        <w:tc>
          <w:tcPr>
            <w:tcW w:w="1480" w:type="dxa"/>
            <w:vAlign w:val="bottom"/>
          </w:tcPr>
          <w:p>
            <w:pPr>
              <w:spacing w:after="0"/>
              <w:rPr>
                <w:sz w:val="20"/>
                <w:szCs w:val="20"/>
                <w:color w:val="auto"/>
              </w:rPr>
            </w:pPr>
            <w:r>
              <w:rPr>
                <w:rFonts w:ascii="Arial" w:cs="Arial" w:eastAsia="Arial" w:hAnsi="Arial"/>
                <w:sz w:val="14"/>
                <w:szCs w:val="14"/>
                <w:color w:val="auto"/>
              </w:rPr>
              <w:t>1.1</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4"/>
              </w:rPr>
            </w:pPr>
            <w:hyperlink r:id="rId9">
              <w:r>
                <w:rPr>
                  <w:rFonts w:ascii="Arial" w:cs="Arial" w:eastAsia="Arial" w:hAnsi="Arial"/>
                  <w:sz w:val="14"/>
                  <w:szCs w:val="14"/>
                  <w:color w:val="0000FF"/>
                  <w:w w:val="94"/>
                </w:rPr>
                <w:t>Underwriting Agreement, dated January 2, 2018, by and among The Howard Hughes Corporation, certain stockholders named therein and J.P. Morgan Securities, LLC,</w:t>
              </w:r>
            </w:hyperlink>
          </w:p>
        </w:tc>
      </w:tr>
      <w:tr>
        <w:trPr>
          <w:trHeight w:val="152"/>
        </w:trPr>
        <w:tc>
          <w:tcPr>
            <w:tcW w:w="1480" w:type="dxa"/>
            <w:vAlign w:val="bottom"/>
          </w:tcPr>
          <w:p>
            <w:pPr>
              <w:spacing w:after="0"/>
              <w:rPr>
                <w:sz w:val="13"/>
                <w:szCs w:val="13"/>
                <w:color w:val="auto"/>
              </w:rPr>
            </w:pPr>
          </w:p>
        </w:tc>
        <w:tc>
          <w:tcPr>
            <w:tcW w:w="9880" w:type="dxa"/>
            <w:vAlign w:val="bottom"/>
            <w:tcBorders>
              <w:bottom w:val="single" w:sz="8" w:color="0000FF"/>
            </w:tcBorders>
            <w:gridSpan w:val="13"/>
          </w:tcPr>
          <w:p>
            <w:pPr>
              <w:spacing w:after="0" w:line="153" w:lineRule="exact"/>
              <w:rPr>
                <w:rFonts w:ascii="Arial" w:cs="Arial" w:eastAsia="Arial" w:hAnsi="Arial"/>
                <w:sz w:val="14"/>
                <w:szCs w:val="14"/>
                <w:color w:val="0000FF"/>
                <w:w w:val="96"/>
              </w:rPr>
            </w:pPr>
            <w:hyperlink r:id="rId9">
              <w:r>
                <w:rPr>
                  <w:rFonts w:ascii="Arial" w:cs="Arial" w:eastAsia="Arial" w:hAnsi="Arial"/>
                  <w:sz w:val="14"/>
                  <w:szCs w:val="14"/>
                  <w:color w:val="0000FF"/>
                  <w:w w:val="96"/>
                </w:rPr>
                <w:t>Merrill Lynch, Pierce, Fenner &amp; Smith Incorporated and Jeffries LLC (incorporated by reference to Exhibit 1.1 to the Company’s Current Report on Form 8-K, filed on</w:t>
              </w:r>
            </w:hyperlink>
          </w:p>
        </w:tc>
      </w:tr>
      <w:tr>
        <w:trPr>
          <w:trHeight w:val="152"/>
        </w:trPr>
        <w:tc>
          <w:tcPr>
            <w:tcW w:w="1480" w:type="dxa"/>
            <w:vAlign w:val="bottom"/>
          </w:tcPr>
          <w:p>
            <w:pPr>
              <w:spacing w:after="0"/>
              <w:rPr>
                <w:sz w:val="13"/>
                <w:szCs w:val="13"/>
                <w:color w:val="auto"/>
              </w:rPr>
            </w:pPr>
          </w:p>
        </w:tc>
        <w:tc>
          <w:tcPr>
            <w:tcW w:w="960" w:type="dxa"/>
            <w:vAlign w:val="bottom"/>
            <w:tcBorders>
              <w:bottom w:val="single" w:sz="8" w:color="0000FF"/>
            </w:tcBorders>
          </w:tcPr>
          <w:p>
            <w:pPr>
              <w:spacing w:after="0" w:line="153" w:lineRule="exact"/>
              <w:rPr>
                <w:rFonts w:ascii="Arial" w:cs="Arial" w:eastAsia="Arial" w:hAnsi="Arial"/>
                <w:sz w:val="14"/>
                <w:szCs w:val="14"/>
                <w:color w:val="0000FF"/>
                <w:w w:val="89"/>
              </w:rPr>
            </w:pPr>
            <w:hyperlink r:id="rId9">
              <w:r>
                <w:rPr>
                  <w:rFonts w:ascii="Arial" w:cs="Arial" w:eastAsia="Arial" w:hAnsi="Arial"/>
                  <w:sz w:val="14"/>
                  <w:szCs w:val="14"/>
                  <w:color w:val="0000FF"/>
                  <w:w w:val="89"/>
                </w:rPr>
                <w:t>January 5, 2018)</w:t>
              </w:r>
            </w:hyperlink>
          </w:p>
        </w:tc>
        <w:tc>
          <w:tcPr>
            <w:tcW w:w="8920" w:type="dxa"/>
            <w:vAlign w:val="bottom"/>
            <w:gridSpan w:val="12"/>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3.1</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3"/>
              </w:rPr>
            </w:pPr>
            <w:hyperlink r:id="rId10">
              <w:r>
                <w:rPr>
                  <w:rFonts w:ascii="Arial" w:cs="Arial" w:eastAsia="Arial" w:hAnsi="Arial"/>
                  <w:sz w:val="14"/>
                  <w:szCs w:val="14"/>
                  <w:color w:val="0000FF"/>
                  <w:w w:val="93"/>
                </w:rPr>
                <w:t>Second Amended and Restated Certificate of Incorporation of the Howard Hughes Corporation (incorporated by reference to Exhibit 3.1 to the Company’s Current Report</w:t>
              </w:r>
            </w:hyperlink>
          </w:p>
        </w:tc>
      </w:tr>
      <w:tr>
        <w:trPr>
          <w:trHeight w:val="152"/>
        </w:trPr>
        <w:tc>
          <w:tcPr>
            <w:tcW w:w="1480" w:type="dxa"/>
            <w:vAlign w:val="bottom"/>
          </w:tcPr>
          <w:p>
            <w:pPr>
              <w:spacing w:after="0"/>
              <w:rPr>
                <w:sz w:val="13"/>
                <w:szCs w:val="13"/>
                <w:color w:val="auto"/>
              </w:rPr>
            </w:pPr>
          </w:p>
        </w:tc>
        <w:tc>
          <w:tcPr>
            <w:tcW w:w="9880" w:type="dxa"/>
            <w:vAlign w:val="bottom"/>
            <w:gridSpan w:val="13"/>
          </w:tcPr>
          <w:p>
            <w:pPr>
              <w:spacing w:after="0" w:line="153" w:lineRule="exact"/>
              <w:rPr>
                <w:rFonts w:ascii="Arial" w:cs="Arial" w:eastAsia="Arial" w:hAnsi="Arial"/>
                <w:sz w:val="14"/>
                <w:szCs w:val="14"/>
                <w:color w:val="0000FF"/>
              </w:rPr>
            </w:pPr>
            <w:hyperlink r:id="rId10">
              <w:r>
                <w:rPr>
                  <w:rFonts w:ascii="Arial" w:cs="Arial" w:eastAsia="Arial" w:hAnsi="Arial"/>
                  <w:sz w:val="14"/>
                  <w:szCs w:val="14"/>
                  <w:color w:val="0000FF"/>
                </w:rPr>
                <w:t>on Form 8-K, filed May 24, 2016)</w:t>
              </w:r>
            </w:hyperlink>
          </w:p>
        </w:tc>
      </w:tr>
      <w:tr>
        <w:trPr>
          <w:trHeight w:val="20"/>
        </w:trPr>
        <w:tc>
          <w:tcPr>
            <w:tcW w:w="14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3.2</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4"/>
              </w:rPr>
            </w:pPr>
            <w:hyperlink r:id="rId11">
              <w:r>
                <w:rPr>
                  <w:rFonts w:ascii="Arial" w:cs="Arial" w:eastAsia="Arial" w:hAnsi="Arial"/>
                  <w:sz w:val="14"/>
                  <w:szCs w:val="14"/>
                  <w:color w:val="0000FF"/>
                  <w:w w:val="94"/>
                </w:rPr>
                <w:t>Amendment No. 1 to the Amended and Restated Bylaws of The Howard Hughes Corporation (incorporated by reference to Exhibit 3.2 to the Company’s Current Report</w:t>
              </w:r>
            </w:hyperlink>
          </w:p>
        </w:tc>
      </w:tr>
      <w:tr>
        <w:trPr>
          <w:trHeight w:val="152"/>
        </w:trPr>
        <w:tc>
          <w:tcPr>
            <w:tcW w:w="1480" w:type="dxa"/>
            <w:vAlign w:val="bottom"/>
          </w:tcPr>
          <w:p>
            <w:pPr>
              <w:spacing w:after="0"/>
              <w:rPr>
                <w:sz w:val="13"/>
                <w:szCs w:val="13"/>
                <w:color w:val="auto"/>
              </w:rPr>
            </w:pPr>
          </w:p>
        </w:tc>
        <w:tc>
          <w:tcPr>
            <w:tcW w:w="9880" w:type="dxa"/>
            <w:vAlign w:val="bottom"/>
            <w:gridSpan w:val="13"/>
          </w:tcPr>
          <w:p>
            <w:pPr>
              <w:spacing w:after="0" w:line="153" w:lineRule="exact"/>
              <w:rPr>
                <w:rFonts w:ascii="Arial" w:cs="Arial" w:eastAsia="Arial" w:hAnsi="Arial"/>
                <w:sz w:val="14"/>
                <w:szCs w:val="14"/>
                <w:color w:val="0000FF"/>
              </w:rPr>
            </w:pPr>
            <w:hyperlink r:id="rId11">
              <w:r>
                <w:rPr>
                  <w:rFonts w:ascii="Arial" w:cs="Arial" w:eastAsia="Arial" w:hAnsi="Arial"/>
                  <w:sz w:val="14"/>
                  <w:szCs w:val="14"/>
                  <w:color w:val="0000FF"/>
                </w:rPr>
                <w:t>on Form 8-K, filed May 24, 2016)</w:t>
              </w:r>
            </w:hyperlink>
          </w:p>
        </w:tc>
      </w:tr>
      <w:tr>
        <w:trPr>
          <w:trHeight w:val="20"/>
        </w:trPr>
        <w:tc>
          <w:tcPr>
            <w:tcW w:w="14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3.3</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4"/>
              </w:rPr>
            </w:pPr>
            <w:hyperlink r:id="rId12">
              <w:r>
                <w:rPr>
                  <w:rFonts w:ascii="Arial" w:cs="Arial" w:eastAsia="Arial" w:hAnsi="Arial"/>
                  <w:sz w:val="14"/>
                  <w:szCs w:val="14"/>
                  <w:color w:val="0000FF"/>
                  <w:w w:val="94"/>
                </w:rPr>
                <w:t>Certificate of Designations of Series A Junior Participating Preferred Stock, filed with the Secretary of State of Delaware on February 29, 2012 (incorporated by reference</w:t>
              </w:r>
            </w:hyperlink>
          </w:p>
        </w:tc>
      </w:tr>
      <w:tr>
        <w:trPr>
          <w:trHeight w:val="152"/>
        </w:trPr>
        <w:tc>
          <w:tcPr>
            <w:tcW w:w="1480" w:type="dxa"/>
            <w:vAlign w:val="bottom"/>
          </w:tcPr>
          <w:p>
            <w:pPr>
              <w:spacing w:after="0"/>
              <w:rPr>
                <w:sz w:val="13"/>
                <w:szCs w:val="13"/>
                <w:color w:val="auto"/>
              </w:rPr>
            </w:pPr>
          </w:p>
        </w:tc>
        <w:tc>
          <w:tcPr>
            <w:tcW w:w="5000" w:type="dxa"/>
            <w:vAlign w:val="bottom"/>
            <w:tcBorders>
              <w:bottom w:val="single" w:sz="8" w:color="0000FF"/>
            </w:tcBorders>
            <w:gridSpan w:val="5"/>
          </w:tcPr>
          <w:p>
            <w:pPr>
              <w:spacing w:after="0" w:line="153" w:lineRule="exact"/>
              <w:rPr>
                <w:rFonts w:ascii="Arial" w:cs="Arial" w:eastAsia="Arial" w:hAnsi="Arial"/>
                <w:sz w:val="14"/>
                <w:szCs w:val="14"/>
                <w:color w:val="0000FF"/>
                <w:w w:val="94"/>
              </w:rPr>
            </w:pPr>
            <w:hyperlink r:id="rId12">
              <w:r>
                <w:rPr>
                  <w:rFonts w:ascii="Arial" w:cs="Arial" w:eastAsia="Arial" w:hAnsi="Arial"/>
                  <w:sz w:val="14"/>
                  <w:szCs w:val="14"/>
                  <w:color w:val="0000FF"/>
                  <w:w w:val="94"/>
                </w:rPr>
                <w:t>to Exhibit 3.1 to the Company’s Current Report on Form 8-K, filed February 29, 2012)</w:t>
              </w:r>
            </w:hyperlink>
          </w:p>
        </w:tc>
        <w:tc>
          <w:tcPr>
            <w:tcW w:w="4880" w:type="dxa"/>
            <w:vAlign w:val="bottom"/>
            <w:gridSpan w:val="8"/>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4.1</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2"/>
              </w:rPr>
            </w:pPr>
            <w:hyperlink r:id="rId13">
              <w:r>
                <w:rPr>
                  <w:rFonts w:ascii="Arial" w:cs="Arial" w:eastAsia="Arial" w:hAnsi="Arial"/>
                  <w:sz w:val="14"/>
                  <w:szCs w:val="14"/>
                  <w:color w:val="0000FF"/>
                  <w:w w:val="92"/>
                </w:rPr>
                <w:t>Section 382 Rights Agreement, dated as of February 27, 2012, by and between The Howard Hughes Corporation and Computershare Trust Company, N.A., as rights agent</w:t>
              </w:r>
            </w:hyperlink>
          </w:p>
        </w:tc>
      </w:tr>
      <w:tr>
        <w:trPr>
          <w:trHeight w:val="152"/>
        </w:trPr>
        <w:tc>
          <w:tcPr>
            <w:tcW w:w="1480" w:type="dxa"/>
            <w:vAlign w:val="bottom"/>
          </w:tcPr>
          <w:p>
            <w:pPr>
              <w:spacing w:after="0"/>
              <w:rPr>
                <w:sz w:val="13"/>
                <w:szCs w:val="13"/>
                <w:color w:val="auto"/>
              </w:rPr>
            </w:pPr>
          </w:p>
        </w:tc>
        <w:tc>
          <w:tcPr>
            <w:tcW w:w="6560" w:type="dxa"/>
            <w:vAlign w:val="bottom"/>
            <w:tcBorders>
              <w:bottom w:val="single" w:sz="8" w:color="0000FF"/>
            </w:tcBorders>
            <w:gridSpan w:val="10"/>
          </w:tcPr>
          <w:p>
            <w:pPr>
              <w:spacing w:after="0" w:line="153" w:lineRule="exact"/>
              <w:rPr>
                <w:rFonts w:ascii="Arial" w:cs="Arial" w:eastAsia="Arial" w:hAnsi="Arial"/>
                <w:sz w:val="14"/>
                <w:szCs w:val="14"/>
                <w:color w:val="0000FF"/>
                <w:w w:val="93"/>
              </w:rPr>
            </w:pPr>
            <w:hyperlink r:id="rId13">
              <w:r>
                <w:rPr>
                  <w:rFonts w:ascii="Arial" w:cs="Arial" w:eastAsia="Arial" w:hAnsi="Arial"/>
                  <w:sz w:val="14"/>
                  <w:szCs w:val="14"/>
                  <w:color w:val="0000FF"/>
                  <w:w w:val="93"/>
                </w:rPr>
                <w:t>(incorporated by reference to Exhibit 4.1 to the Company’s Current Report on Form 8-K, filed February 29, 2012)</w:t>
              </w:r>
            </w:hyperlink>
          </w:p>
        </w:tc>
        <w:tc>
          <w:tcPr>
            <w:tcW w:w="3320" w:type="dxa"/>
            <w:vAlign w:val="bottom"/>
            <w:gridSpan w:val="3"/>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4.2</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5"/>
              </w:rPr>
            </w:pPr>
            <w:hyperlink r:id="rId14">
              <w:r>
                <w:rPr>
                  <w:rFonts w:ascii="Arial" w:cs="Arial" w:eastAsia="Arial" w:hAnsi="Arial"/>
                  <w:sz w:val="14"/>
                  <w:szCs w:val="14"/>
                  <w:color w:val="0000FF"/>
                  <w:w w:val="95"/>
                </w:rPr>
                <w:t>Amendment No. 1 to Rights Agreement dated as of February 26, 2015, by and between The Howard Hughes Corporation and Computershare Trust Company, N.A., as</w:t>
              </w:r>
            </w:hyperlink>
          </w:p>
        </w:tc>
      </w:tr>
      <w:tr>
        <w:trPr>
          <w:trHeight w:val="152"/>
        </w:trPr>
        <w:tc>
          <w:tcPr>
            <w:tcW w:w="1480" w:type="dxa"/>
            <w:vAlign w:val="bottom"/>
          </w:tcPr>
          <w:p>
            <w:pPr>
              <w:spacing w:after="0"/>
              <w:rPr>
                <w:sz w:val="13"/>
                <w:szCs w:val="13"/>
                <w:color w:val="auto"/>
              </w:rPr>
            </w:pPr>
          </w:p>
        </w:tc>
        <w:tc>
          <w:tcPr>
            <w:tcW w:w="7060" w:type="dxa"/>
            <w:vAlign w:val="bottom"/>
            <w:tcBorders>
              <w:bottom w:val="single" w:sz="8" w:color="0000FF"/>
            </w:tcBorders>
            <w:gridSpan w:val="12"/>
          </w:tcPr>
          <w:p>
            <w:pPr>
              <w:spacing w:after="0" w:line="153" w:lineRule="exact"/>
              <w:rPr>
                <w:rFonts w:ascii="Arial" w:cs="Arial" w:eastAsia="Arial" w:hAnsi="Arial"/>
                <w:sz w:val="14"/>
                <w:szCs w:val="14"/>
                <w:color w:val="0000FF"/>
                <w:w w:val="94"/>
              </w:rPr>
            </w:pPr>
            <w:hyperlink r:id="rId14">
              <w:r>
                <w:rPr>
                  <w:rFonts w:ascii="Arial" w:cs="Arial" w:eastAsia="Arial" w:hAnsi="Arial"/>
                  <w:sz w:val="14"/>
                  <w:szCs w:val="14"/>
                  <w:color w:val="0000FF"/>
                  <w:w w:val="94"/>
                </w:rPr>
                <w:t>rights agent (incorporated by reference to Exhibit 4.2 to the Company’s Current Report on Form 8-K, filed March 3, 2015)</w:t>
              </w:r>
            </w:hyperlink>
          </w:p>
        </w:tc>
        <w:tc>
          <w:tcPr>
            <w:tcW w:w="2820" w:type="dxa"/>
            <w:vAlign w:val="bottom"/>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4.3</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2"/>
              </w:rPr>
            </w:pPr>
            <w:hyperlink r:id="rId15">
              <w:r>
                <w:rPr>
                  <w:rFonts w:ascii="Arial" w:cs="Arial" w:eastAsia="Arial" w:hAnsi="Arial"/>
                  <w:sz w:val="14"/>
                  <w:szCs w:val="14"/>
                  <w:color w:val="0000FF"/>
                  <w:w w:val="92"/>
                </w:rPr>
                <w:t>Amendment No. 2 to Rights Agreement, dated as of January 2, 2018, by and between The Howard Hughes Corporation and Computershare Trust Company, N.A., as rights</w:t>
              </w:r>
            </w:hyperlink>
          </w:p>
        </w:tc>
      </w:tr>
      <w:tr>
        <w:trPr>
          <w:trHeight w:val="152"/>
        </w:trPr>
        <w:tc>
          <w:tcPr>
            <w:tcW w:w="1480" w:type="dxa"/>
            <w:vAlign w:val="bottom"/>
          </w:tcPr>
          <w:p>
            <w:pPr>
              <w:spacing w:after="0"/>
              <w:rPr>
                <w:sz w:val="13"/>
                <w:szCs w:val="13"/>
                <w:color w:val="auto"/>
              </w:rPr>
            </w:pPr>
          </w:p>
        </w:tc>
        <w:tc>
          <w:tcPr>
            <w:tcW w:w="6760" w:type="dxa"/>
            <w:vAlign w:val="bottom"/>
            <w:tcBorders>
              <w:bottom w:val="single" w:sz="8" w:color="0000FF"/>
            </w:tcBorders>
            <w:gridSpan w:val="11"/>
          </w:tcPr>
          <w:p>
            <w:pPr>
              <w:spacing w:after="0" w:line="153" w:lineRule="exact"/>
              <w:rPr>
                <w:rFonts w:ascii="Arial" w:cs="Arial" w:eastAsia="Arial" w:hAnsi="Arial"/>
                <w:sz w:val="14"/>
                <w:szCs w:val="14"/>
                <w:color w:val="0000FF"/>
                <w:w w:val="93"/>
              </w:rPr>
            </w:pPr>
            <w:hyperlink r:id="rId15">
              <w:r>
                <w:rPr>
                  <w:rFonts w:ascii="Arial" w:cs="Arial" w:eastAsia="Arial" w:hAnsi="Arial"/>
                  <w:sz w:val="14"/>
                  <w:szCs w:val="14"/>
                  <w:color w:val="0000FF"/>
                  <w:w w:val="93"/>
                </w:rPr>
                <w:t>agent (incorporated by reference to Exhibit 4.1 to the Company’s Current Report on Form 8-K, filed January 2, 2018)</w:t>
              </w:r>
            </w:hyperlink>
          </w:p>
        </w:tc>
        <w:tc>
          <w:tcPr>
            <w:tcW w:w="3120" w:type="dxa"/>
            <w:vAlign w:val="bottom"/>
            <w:gridSpan w:val="2"/>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4.4</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2"/>
              </w:rPr>
            </w:pPr>
            <w:hyperlink r:id="rId16">
              <w:r>
                <w:rPr>
                  <w:rFonts w:ascii="Arial" w:cs="Arial" w:eastAsia="Arial" w:hAnsi="Arial"/>
                  <w:sz w:val="14"/>
                  <w:szCs w:val="14"/>
                  <w:color w:val="0000FF"/>
                  <w:w w:val="92"/>
                </w:rPr>
                <w:t>Indenture, dated as of March 16, 2017 by and between The Howard Hughes Corporation and Wells Fargo Bank, National Association, as trustee (incorporated by reference</w:t>
              </w:r>
            </w:hyperlink>
          </w:p>
        </w:tc>
      </w:tr>
      <w:tr>
        <w:trPr>
          <w:trHeight w:val="152"/>
        </w:trPr>
        <w:tc>
          <w:tcPr>
            <w:tcW w:w="1480" w:type="dxa"/>
            <w:vAlign w:val="bottom"/>
          </w:tcPr>
          <w:p>
            <w:pPr>
              <w:spacing w:after="0"/>
              <w:rPr>
                <w:sz w:val="13"/>
                <w:szCs w:val="13"/>
                <w:color w:val="auto"/>
              </w:rPr>
            </w:pPr>
          </w:p>
        </w:tc>
        <w:tc>
          <w:tcPr>
            <w:tcW w:w="5040" w:type="dxa"/>
            <w:vAlign w:val="bottom"/>
            <w:tcBorders>
              <w:bottom w:val="single" w:sz="8" w:color="0000FF"/>
            </w:tcBorders>
            <w:gridSpan w:val="6"/>
          </w:tcPr>
          <w:p>
            <w:pPr>
              <w:spacing w:after="0" w:line="153" w:lineRule="exact"/>
              <w:rPr>
                <w:rFonts w:ascii="Arial" w:cs="Arial" w:eastAsia="Arial" w:hAnsi="Arial"/>
                <w:sz w:val="14"/>
                <w:szCs w:val="14"/>
                <w:color w:val="0000FF"/>
                <w:w w:val="94"/>
              </w:rPr>
            </w:pPr>
            <w:hyperlink r:id="rId16">
              <w:r>
                <w:rPr>
                  <w:rFonts w:ascii="Arial" w:cs="Arial" w:eastAsia="Arial" w:hAnsi="Arial"/>
                  <w:sz w:val="14"/>
                  <w:szCs w:val="14"/>
                  <w:color w:val="0000FF"/>
                  <w:w w:val="94"/>
                </w:rPr>
                <w:t>to Exhibit 4.1 to the Company’s Current Report on Form 8-K, filed on March 21, 2017)</w:t>
              </w:r>
            </w:hyperlink>
          </w:p>
        </w:tc>
        <w:tc>
          <w:tcPr>
            <w:tcW w:w="4840" w:type="dxa"/>
            <w:vAlign w:val="bottom"/>
            <w:gridSpan w:val="7"/>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10.1</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8"/>
              </w:rPr>
            </w:pPr>
            <w:hyperlink r:id="rId17">
              <w:r>
                <w:rPr>
                  <w:rFonts w:ascii="Arial" w:cs="Arial" w:eastAsia="Arial" w:hAnsi="Arial"/>
                  <w:sz w:val="14"/>
                  <w:szCs w:val="14"/>
                  <w:color w:val="0000FF"/>
                  <w:w w:val="98"/>
                </w:rPr>
                <w:t>Form of indemnification agreement for directors and certain executive officers of The Howard Hughes Corporation (incorporated by reference to Exhibit 10.7 to the</w:t>
              </w:r>
            </w:hyperlink>
          </w:p>
        </w:tc>
      </w:tr>
      <w:tr>
        <w:trPr>
          <w:trHeight w:val="152"/>
        </w:trPr>
        <w:tc>
          <w:tcPr>
            <w:tcW w:w="1480" w:type="dxa"/>
            <w:vAlign w:val="bottom"/>
          </w:tcPr>
          <w:p>
            <w:pPr>
              <w:spacing w:after="0"/>
              <w:rPr>
                <w:sz w:val="13"/>
                <w:szCs w:val="13"/>
                <w:color w:val="auto"/>
              </w:rPr>
            </w:pPr>
          </w:p>
        </w:tc>
        <w:tc>
          <w:tcPr>
            <w:tcW w:w="9880" w:type="dxa"/>
            <w:vAlign w:val="bottom"/>
            <w:gridSpan w:val="13"/>
          </w:tcPr>
          <w:p>
            <w:pPr>
              <w:spacing w:after="0" w:line="153" w:lineRule="exact"/>
              <w:rPr>
                <w:rFonts w:ascii="Arial" w:cs="Arial" w:eastAsia="Arial" w:hAnsi="Arial"/>
                <w:sz w:val="14"/>
                <w:szCs w:val="14"/>
                <w:color w:val="0000FF"/>
              </w:rPr>
            </w:pPr>
            <w:hyperlink r:id="rId17">
              <w:r>
                <w:rPr>
                  <w:rFonts w:ascii="Arial" w:cs="Arial" w:eastAsia="Arial" w:hAnsi="Arial"/>
                  <w:sz w:val="14"/>
                  <w:szCs w:val="14"/>
                  <w:color w:val="0000FF"/>
                </w:rPr>
                <w:t>Company’s Current Report on Form 8-K, filed November 12, 2010)</w:t>
              </w:r>
            </w:hyperlink>
          </w:p>
        </w:tc>
      </w:tr>
      <w:tr>
        <w:trPr>
          <w:trHeight w:val="20"/>
        </w:trPr>
        <w:tc>
          <w:tcPr>
            <w:tcW w:w="148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10.2</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4"/>
              </w:rPr>
            </w:pPr>
            <w:hyperlink r:id="rId18">
              <w:r>
                <w:rPr>
                  <w:rFonts w:ascii="Arial" w:cs="Arial" w:eastAsia="Arial" w:hAnsi="Arial"/>
                  <w:sz w:val="14"/>
                  <w:szCs w:val="14"/>
                  <w:color w:val="0000FF"/>
                  <w:w w:val="94"/>
                </w:rPr>
                <w:t>Warrant Agreement, dated November 9, 2010, between The Howard Hughes Corporation and Mellon Investor Services LLC (incorporated by reference to Exhibit 10.8 to</w:t>
              </w:r>
            </w:hyperlink>
          </w:p>
        </w:tc>
      </w:tr>
      <w:tr>
        <w:trPr>
          <w:trHeight w:val="152"/>
        </w:trPr>
        <w:tc>
          <w:tcPr>
            <w:tcW w:w="1480" w:type="dxa"/>
            <w:vAlign w:val="bottom"/>
          </w:tcPr>
          <w:p>
            <w:pPr>
              <w:spacing w:after="0"/>
              <w:rPr>
                <w:sz w:val="13"/>
                <w:szCs w:val="13"/>
                <w:color w:val="auto"/>
              </w:rPr>
            </w:pPr>
          </w:p>
        </w:tc>
        <w:tc>
          <w:tcPr>
            <w:tcW w:w="4120" w:type="dxa"/>
            <w:vAlign w:val="bottom"/>
            <w:tcBorders>
              <w:bottom w:val="single" w:sz="8" w:color="0000FF"/>
            </w:tcBorders>
            <w:gridSpan w:val="4"/>
          </w:tcPr>
          <w:p>
            <w:pPr>
              <w:spacing w:after="0" w:line="153" w:lineRule="exact"/>
              <w:rPr>
                <w:rFonts w:ascii="Arial" w:cs="Arial" w:eastAsia="Arial" w:hAnsi="Arial"/>
                <w:sz w:val="14"/>
                <w:szCs w:val="14"/>
                <w:color w:val="0000FF"/>
                <w:w w:val="93"/>
              </w:rPr>
            </w:pPr>
            <w:hyperlink r:id="rId18">
              <w:r>
                <w:rPr>
                  <w:rFonts w:ascii="Arial" w:cs="Arial" w:eastAsia="Arial" w:hAnsi="Arial"/>
                  <w:sz w:val="14"/>
                  <w:szCs w:val="14"/>
                  <w:color w:val="0000FF"/>
                  <w:w w:val="93"/>
                </w:rPr>
                <w:t>the Company’s Current Report on Form 8-K, filed November 12, 2010)</w:t>
              </w:r>
            </w:hyperlink>
          </w:p>
        </w:tc>
        <w:tc>
          <w:tcPr>
            <w:tcW w:w="5760" w:type="dxa"/>
            <w:vAlign w:val="bottom"/>
            <w:gridSpan w:val="9"/>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10.3</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6"/>
              </w:rPr>
            </w:pPr>
            <w:hyperlink r:id="rId19">
              <w:r>
                <w:rPr>
                  <w:rFonts w:ascii="Arial" w:cs="Arial" w:eastAsia="Arial" w:hAnsi="Arial"/>
                  <w:sz w:val="14"/>
                  <w:szCs w:val="14"/>
                  <w:color w:val="0000FF"/>
                  <w:w w:val="96"/>
                </w:rPr>
                <w:t>Letter Agreement, dated November 9, 2010, between The Howard Hughes Corporation and Pershing Square Capital Management, L.P. (incorporated by reference to</w:t>
              </w:r>
            </w:hyperlink>
          </w:p>
        </w:tc>
      </w:tr>
      <w:tr>
        <w:trPr>
          <w:trHeight w:val="152"/>
        </w:trPr>
        <w:tc>
          <w:tcPr>
            <w:tcW w:w="1480" w:type="dxa"/>
            <w:vAlign w:val="bottom"/>
          </w:tcPr>
          <w:p>
            <w:pPr>
              <w:spacing w:after="0"/>
              <w:rPr>
                <w:sz w:val="13"/>
                <w:szCs w:val="13"/>
                <w:color w:val="auto"/>
              </w:rPr>
            </w:pPr>
          </w:p>
        </w:tc>
        <w:tc>
          <w:tcPr>
            <w:tcW w:w="5080" w:type="dxa"/>
            <w:vAlign w:val="bottom"/>
            <w:tcBorders>
              <w:bottom w:val="single" w:sz="8" w:color="0000FF"/>
            </w:tcBorders>
            <w:gridSpan w:val="7"/>
          </w:tcPr>
          <w:p>
            <w:pPr>
              <w:spacing w:after="0" w:line="153" w:lineRule="exact"/>
              <w:rPr>
                <w:rFonts w:ascii="Arial" w:cs="Arial" w:eastAsia="Arial" w:hAnsi="Arial"/>
                <w:sz w:val="14"/>
                <w:szCs w:val="14"/>
                <w:color w:val="0000FF"/>
                <w:w w:val="94"/>
              </w:rPr>
            </w:pPr>
            <w:hyperlink r:id="rId19">
              <w:r>
                <w:rPr>
                  <w:rFonts w:ascii="Arial" w:cs="Arial" w:eastAsia="Arial" w:hAnsi="Arial"/>
                  <w:sz w:val="14"/>
                  <w:szCs w:val="14"/>
                  <w:color w:val="0000FF"/>
                  <w:w w:val="94"/>
                </w:rPr>
                <w:t>Exhibit 10.11 to the Company’s Current Report on Form 8-K, filed November 12, 2010)</w:t>
              </w:r>
            </w:hyperlink>
          </w:p>
        </w:tc>
        <w:tc>
          <w:tcPr>
            <w:tcW w:w="4800" w:type="dxa"/>
            <w:vAlign w:val="bottom"/>
            <w:gridSpan w:val="6"/>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10.4</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5"/>
              </w:rPr>
            </w:pPr>
            <w:hyperlink r:id="rId20">
              <w:r>
                <w:rPr>
                  <w:rFonts w:ascii="Arial" w:cs="Arial" w:eastAsia="Arial" w:hAnsi="Arial"/>
                  <w:sz w:val="14"/>
                  <w:szCs w:val="14"/>
                  <w:color w:val="0000FF"/>
                  <w:w w:val="95"/>
                </w:rPr>
                <w:t>Registration Rights Agreement, dated November 9, 2010, between The Howard Hughes Corporation and Pershing Square Capital Management, L.P., Blackstone Real</w:t>
              </w:r>
            </w:hyperlink>
          </w:p>
        </w:tc>
      </w:tr>
      <w:tr>
        <w:trPr>
          <w:trHeight w:val="152"/>
        </w:trPr>
        <w:tc>
          <w:tcPr>
            <w:tcW w:w="1480" w:type="dxa"/>
            <w:vAlign w:val="bottom"/>
          </w:tcPr>
          <w:p>
            <w:pPr>
              <w:spacing w:after="0"/>
              <w:rPr>
                <w:sz w:val="13"/>
                <w:szCs w:val="13"/>
                <w:color w:val="auto"/>
              </w:rPr>
            </w:pPr>
          </w:p>
        </w:tc>
        <w:tc>
          <w:tcPr>
            <w:tcW w:w="9880" w:type="dxa"/>
            <w:vAlign w:val="bottom"/>
            <w:tcBorders>
              <w:bottom w:val="single" w:sz="8" w:color="0000FF"/>
            </w:tcBorders>
            <w:gridSpan w:val="13"/>
          </w:tcPr>
          <w:p>
            <w:pPr>
              <w:spacing w:after="0" w:line="153" w:lineRule="exact"/>
              <w:rPr>
                <w:rFonts w:ascii="Arial" w:cs="Arial" w:eastAsia="Arial" w:hAnsi="Arial"/>
                <w:sz w:val="14"/>
                <w:szCs w:val="14"/>
                <w:color w:val="0000FF"/>
                <w:w w:val="99"/>
              </w:rPr>
            </w:pPr>
            <w:hyperlink r:id="rId20">
              <w:r>
                <w:rPr>
                  <w:rFonts w:ascii="Arial" w:cs="Arial" w:eastAsia="Arial" w:hAnsi="Arial"/>
                  <w:sz w:val="14"/>
                  <w:szCs w:val="14"/>
                  <w:color w:val="0000FF"/>
                  <w:w w:val="99"/>
                </w:rPr>
                <w:t>Estate Partners VI L.P., Blackstone Real Estate Partners (AIV) VI L.P., Blackstone Real Estate Partners VI.F L.P., Blackstone Real Estate Partners VI.TE.1 L.P.,</w:t>
              </w:r>
            </w:hyperlink>
          </w:p>
        </w:tc>
      </w:tr>
      <w:tr>
        <w:trPr>
          <w:trHeight w:val="152"/>
        </w:trPr>
        <w:tc>
          <w:tcPr>
            <w:tcW w:w="1480" w:type="dxa"/>
            <w:vAlign w:val="bottom"/>
          </w:tcPr>
          <w:p>
            <w:pPr>
              <w:spacing w:after="0"/>
              <w:rPr>
                <w:sz w:val="13"/>
                <w:szCs w:val="13"/>
                <w:color w:val="auto"/>
              </w:rPr>
            </w:pPr>
          </w:p>
        </w:tc>
        <w:tc>
          <w:tcPr>
            <w:tcW w:w="9880" w:type="dxa"/>
            <w:vAlign w:val="bottom"/>
            <w:tcBorders>
              <w:bottom w:val="single" w:sz="8" w:color="0000FF"/>
            </w:tcBorders>
            <w:gridSpan w:val="13"/>
          </w:tcPr>
          <w:p>
            <w:pPr>
              <w:spacing w:after="0" w:line="153" w:lineRule="exact"/>
              <w:rPr>
                <w:rFonts w:ascii="Arial" w:cs="Arial" w:eastAsia="Arial" w:hAnsi="Arial"/>
                <w:sz w:val="14"/>
                <w:szCs w:val="14"/>
                <w:color w:val="0000FF"/>
                <w:w w:val="92"/>
              </w:rPr>
            </w:pPr>
            <w:hyperlink r:id="rId20">
              <w:r>
                <w:rPr>
                  <w:rFonts w:ascii="Arial" w:cs="Arial" w:eastAsia="Arial" w:hAnsi="Arial"/>
                  <w:sz w:val="14"/>
                  <w:szCs w:val="14"/>
                  <w:color w:val="0000FF"/>
                  <w:w w:val="92"/>
                </w:rPr>
                <w:t>Blackstone Real Estate Partners VI.TE.2 L.P., Blackstone Real Estate Holdings VI L.P., and Blackstone GGP Principal Transaction Partners L.P. (incorporated by reference</w:t>
              </w:r>
            </w:hyperlink>
          </w:p>
        </w:tc>
      </w:tr>
      <w:tr>
        <w:trPr>
          <w:trHeight w:val="152"/>
        </w:trPr>
        <w:tc>
          <w:tcPr>
            <w:tcW w:w="1480" w:type="dxa"/>
            <w:vAlign w:val="bottom"/>
          </w:tcPr>
          <w:p>
            <w:pPr>
              <w:spacing w:after="0"/>
              <w:rPr>
                <w:sz w:val="13"/>
                <w:szCs w:val="13"/>
                <w:color w:val="auto"/>
              </w:rPr>
            </w:pPr>
          </w:p>
        </w:tc>
        <w:tc>
          <w:tcPr>
            <w:tcW w:w="5160" w:type="dxa"/>
            <w:vAlign w:val="bottom"/>
            <w:tcBorders>
              <w:bottom w:val="single" w:sz="8" w:color="0000FF"/>
            </w:tcBorders>
            <w:gridSpan w:val="8"/>
          </w:tcPr>
          <w:p>
            <w:pPr>
              <w:spacing w:after="0" w:line="153" w:lineRule="exact"/>
              <w:rPr>
                <w:rFonts w:ascii="Arial" w:cs="Arial" w:eastAsia="Arial" w:hAnsi="Arial"/>
                <w:sz w:val="14"/>
                <w:szCs w:val="14"/>
                <w:color w:val="0000FF"/>
                <w:w w:val="94"/>
              </w:rPr>
            </w:pPr>
            <w:hyperlink r:id="rId20">
              <w:r>
                <w:rPr>
                  <w:rFonts w:ascii="Arial" w:cs="Arial" w:eastAsia="Arial" w:hAnsi="Arial"/>
                  <w:sz w:val="14"/>
                  <w:szCs w:val="14"/>
                  <w:color w:val="0000FF"/>
                  <w:w w:val="94"/>
                </w:rPr>
                <w:t>to Exhibit 99.4 to the Company’s Current Report on Form 8-K, filed November 12, 2010)</w:t>
              </w:r>
            </w:hyperlink>
          </w:p>
        </w:tc>
        <w:tc>
          <w:tcPr>
            <w:tcW w:w="4720" w:type="dxa"/>
            <w:vAlign w:val="bottom"/>
            <w:gridSpan w:val="5"/>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10.5*</w:t>
            </w:r>
          </w:p>
        </w:tc>
        <w:tc>
          <w:tcPr>
            <w:tcW w:w="9880" w:type="dxa"/>
            <w:vAlign w:val="bottom"/>
            <w:tcBorders>
              <w:bottom w:val="single" w:sz="8" w:color="0000FF"/>
            </w:tcBorders>
            <w:gridSpan w:val="13"/>
          </w:tcPr>
          <w:p>
            <w:pPr>
              <w:spacing w:after="0"/>
              <w:rPr>
                <w:rFonts w:ascii="Arial" w:cs="Arial" w:eastAsia="Arial" w:hAnsi="Arial"/>
                <w:sz w:val="14"/>
                <w:szCs w:val="14"/>
                <w:color w:val="0000FF"/>
                <w:w w:val="95"/>
              </w:rPr>
            </w:pPr>
            <w:hyperlink r:id="rId21">
              <w:r>
                <w:rPr>
                  <w:rFonts w:ascii="Arial" w:cs="Arial" w:eastAsia="Arial" w:hAnsi="Arial"/>
                  <w:sz w:val="14"/>
                  <w:szCs w:val="14"/>
                  <w:color w:val="0000FF"/>
                  <w:w w:val="95"/>
                </w:rPr>
                <w:t>Form of Restricted Stock Agreement for Nonemployee Directors under The Howard Hughes Corporation 2010 Amended and Restated Incentive Plan (incorporated by</w:t>
              </w:r>
            </w:hyperlink>
          </w:p>
        </w:tc>
      </w:tr>
      <w:tr>
        <w:trPr>
          <w:trHeight w:val="152"/>
        </w:trPr>
        <w:tc>
          <w:tcPr>
            <w:tcW w:w="1480" w:type="dxa"/>
            <w:vAlign w:val="bottom"/>
          </w:tcPr>
          <w:p>
            <w:pPr>
              <w:spacing w:after="0"/>
              <w:rPr>
                <w:sz w:val="13"/>
                <w:szCs w:val="13"/>
                <w:color w:val="auto"/>
              </w:rPr>
            </w:pPr>
          </w:p>
        </w:tc>
        <w:tc>
          <w:tcPr>
            <w:tcW w:w="5720" w:type="dxa"/>
            <w:vAlign w:val="bottom"/>
            <w:tcBorders>
              <w:bottom w:val="single" w:sz="8" w:color="0000FF"/>
            </w:tcBorders>
            <w:gridSpan w:val="9"/>
          </w:tcPr>
          <w:p>
            <w:pPr>
              <w:spacing w:after="0" w:line="153" w:lineRule="exact"/>
              <w:rPr>
                <w:rFonts w:ascii="Arial" w:cs="Arial" w:eastAsia="Arial" w:hAnsi="Arial"/>
                <w:sz w:val="14"/>
                <w:szCs w:val="14"/>
                <w:color w:val="0000FF"/>
                <w:w w:val="93"/>
              </w:rPr>
            </w:pPr>
            <w:hyperlink r:id="rId21">
              <w:r>
                <w:rPr>
                  <w:rFonts w:ascii="Arial" w:cs="Arial" w:eastAsia="Arial" w:hAnsi="Arial"/>
                  <w:sz w:val="14"/>
                  <w:szCs w:val="14"/>
                  <w:color w:val="0000FF"/>
                  <w:w w:val="93"/>
                </w:rPr>
                <w:t>reference to Exhibit 10.5 to the Company’s Current Report on Form 10-K, filed February 27, 2019)</w:t>
              </w:r>
            </w:hyperlink>
          </w:p>
        </w:tc>
        <w:tc>
          <w:tcPr>
            <w:tcW w:w="4160" w:type="dxa"/>
            <w:vAlign w:val="bottom"/>
            <w:gridSpan w:val="4"/>
          </w:tcPr>
          <w:p>
            <w:pPr>
              <w:spacing w:after="0"/>
              <w:rPr>
                <w:sz w:val="13"/>
                <w:szCs w:val="13"/>
                <w:color w:val="auto"/>
              </w:rPr>
            </w:pPr>
          </w:p>
        </w:tc>
      </w:tr>
    </w:tbl>
    <w:p>
      <w:pPr>
        <w:sectPr>
          <w:pgSz w:w="11900" w:h="16838" w:orient="portrait"/>
          <w:cols w:equalWidth="0" w:num="1">
            <w:col w:w="11440"/>
          </w:cols>
          <w:pgMar w:left="220" w:top="491"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color w:val="auto"/>
              </w:rPr>
              <w:t>10.6*</w:t>
            </w:r>
          </w:p>
        </w:tc>
        <w:tc>
          <w:tcPr>
            <w:tcW w:w="9880" w:type="dxa"/>
            <w:vAlign w:val="bottom"/>
            <w:tcBorders>
              <w:bottom w:val="single" w:sz="8" w:color="0000FF"/>
            </w:tcBorders>
            <w:gridSpan w:val="12"/>
          </w:tcPr>
          <w:p>
            <w:pPr>
              <w:spacing w:after="0"/>
              <w:rPr>
                <w:rFonts w:ascii="Arial" w:cs="Arial" w:eastAsia="Arial" w:hAnsi="Arial"/>
                <w:sz w:val="14"/>
                <w:szCs w:val="14"/>
                <w:color w:val="0000FF"/>
                <w:w w:val="93"/>
              </w:rPr>
            </w:pPr>
            <w:hyperlink r:id="rId22">
              <w:r>
                <w:rPr>
                  <w:rFonts w:ascii="Arial" w:cs="Arial" w:eastAsia="Arial" w:hAnsi="Arial"/>
                  <w:sz w:val="14"/>
                  <w:szCs w:val="14"/>
                  <w:color w:val="0000FF"/>
                  <w:w w:val="93"/>
                </w:rPr>
                <w:t>Restricted Stock Agreement dated as of February 16, 2018, between The Howard Hughes Corporation and David Weinreb (incorporated by reference to Exhibit 10.6 to the</w:t>
              </w:r>
            </w:hyperlink>
          </w:p>
        </w:tc>
      </w:tr>
      <w:tr>
        <w:trPr>
          <w:trHeight w:val="152"/>
        </w:trPr>
        <w:tc>
          <w:tcPr>
            <w:tcW w:w="1480" w:type="dxa"/>
            <w:vAlign w:val="bottom"/>
          </w:tcPr>
          <w:p>
            <w:pPr>
              <w:spacing w:after="0"/>
              <w:rPr>
                <w:sz w:val="13"/>
                <w:szCs w:val="13"/>
                <w:color w:val="auto"/>
              </w:rPr>
            </w:pPr>
          </w:p>
        </w:tc>
        <w:tc>
          <w:tcPr>
            <w:tcW w:w="9880" w:type="dxa"/>
            <w:vAlign w:val="bottom"/>
            <w:gridSpan w:val="12"/>
          </w:tcPr>
          <w:p>
            <w:pPr>
              <w:spacing w:after="0" w:line="153" w:lineRule="exact"/>
              <w:rPr>
                <w:rFonts w:ascii="Arial" w:cs="Arial" w:eastAsia="Arial" w:hAnsi="Arial"/>
                <w:sz w:val="14"/>
                <w:szCs w:val="14"/>
                <w:color w:val="0000FF"/>
              </w:rPr>
            </w:pPr>
            <w:hyperlink r:id="rId22">
              <w:r>
                <w:rPr>
                  <w:rFonts w:ascii="Arial" w:cs="Arial" w:eastAsia="Arial" w:hAnsi="Arial"/>
                  <w:sz w:val="14"/>
                  <w:szCs w:val="14"/>
                  <w:color w:val="0000FF"/>
                </w:rPr>
                <w:t>Company’s Current Report on Form 10-K, filed February 27, 2019)</w:t>
              </w:r>
            </w:hyperlink>
          </w:p>
        </w:tc>
      </w:tr>
      <w:tr>
        <w:trPr>
          <w:trHeight w:val="20"/>
        </w:trPr>
        <w:tc>
          <w:tcPr>
            <w:tcW w:w="148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10.7*</w:t>
            </w:r>
          </w:p>
        </w:tc>
        <w:tc>
          <w:tcPr>
            <w:tcW w:w="9880" w:type="dxa"/>
            <w:vAlign w:val="bottom"/>
            <w:tcBorders>
              <w:bottom w:val="single" w:sz="8" w:color="0000FF"/>
            </w:tcBorders>
            <w:gridSpan w:val="12"/>
          </w:tcPr>
          <w:p>
            <w:pPr>
              <w:spacing w:after="0"/>
              <w:rPr>
                <w:rFonts w:ascii="Arial" w:cs="Arial" w:eastAsia="Arial" w:hAnsi="Arial"/>
                <w:sz w:val="14"/>
                <w:szCs w:val="14"/>
                <w:color w:val="0000FF"/>
                <w:w w:val="93"/>
              </w:rPr>
            </w:pPr>
            <w:hyperlink r:id="rId23">
              <w:r>
                <w:rPr>
                  <w:rFonts w:ascii="Arial" w:cs="Arial" w:eastAsia="Arial" w:hAnsi="Arial"/>
                  <w:sz w:val="14"/>
                  <w:szCs w:val="14"/>
                  <w:color w:val="0000FF"/>
                  <w:w w:val="93"/>
                </w:rPr>
                <w:t>Form of Time-based Restricted Stock Agreement for Executive Officers under The Howard Hughes Corporation 2010 Amended and Restated Incentive Plan (incorporated</w:t>
              </w:r>
            </w:hyperlink>
          </w:p>
        </w:tc>
      </w:tr>
      <w:tr>
        <w:trPr>
          <w:trHeight w:val="152"/>
        </w:trPr>
        <w:tc>
          <w:tcPr>
            <w:tcW w:w="1480" w:type="dxa"/>
            <w:vAlign w:val="bottom"/>
          </w:tcPr>
          <w:p>
            <w:pPr>
              <w:spacing w:after="0"/>
              <w:rPr>
                <w:sz w:val="13"/>
                <w:szCs w:val="13"/>
                <w:color w:val="auto"/>
              </w:rPr>
            </w:pPr>
          </w:p>
        </w:tc>
        <w:tc>
          <w:tcPr>
            <w:tcW w:w="9880" w:type="dxa"/>
            <w:vAlign w:val="bottom"/>
            <w:gridSpan w:val="12"/>
          </w:tcPr>
          <w:p>
            <w:pPr>
              <w:spacing w:after="0" w:line="153" w:lineRule="exact"/>
              <w:rPr>
                <w:rFonts w:ascii="Arial" w:cs="Arial" w:eastAsia="Arial" w:hAnsi="Arial"/>
                <w:sz w:val="14"/>
                <w:szCs w:val="14"/>
                <w:color w:val="0000FF"/>
              </w:rPr>
            </w:pPr>
            <w:hyperlink r:id="rId23">
              <w:r>
                <w:rPr>
                  <w:rFonts w:ascii="Arial" w:cs="Arial" w:eastAsia="Arial" w:hAnsi="Arial"/>
                  <w:sz w:val="14"/>
                  <w:szCs w:val="14"/>
                  <w:color w:val="0000FF"/>
                </w:rPr>
                <w:t>by reference to Exhibit 10.7 to the Company’s Current Report on Form 10-K, filed February 27, 2019)</w:t>
              </w:r>
            </w:hyperlink>
          </w:p>
        </w:tc>
      </w:tr>
      <w:tr>
        <w:trPr>
          <w:trHeight w:val="20"/>
        </w:trPr>
        <w:tc>
          <w:tcPr>
            <w:tcW w:w="148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7"/>
        </w:trPr>
        <w:tc>
          <w:tcPr>
            <w:tcW w:w="1480" w:type="dxa"/>
            <w:vAlign w:val="bottom"/>
          </w:tcPr>
          <w:p>
            <w:pPr>
              <w:spacing w:after="0"/>
              <w:rPr>
                <w:sz w:val="20"/>
                <w:szCs w:val="20"/>
                <w:color w:val="auto"/>
              </w:rPr>
            </w:pPr>
            <w:r>
              <w:rPr>
                <w:rFonts w:ascii="Arial" w:cs="Arial" w:eastAsia="Arial" w:hAnsi="Arial"/>
                <w:sz w:val="14"/>
                <w:szCs w:val="14"/>
                <w:color w:val="auto"/>
              </w:rPr>
              <w:t>10.8*</w:t>
            </w:r>
          </w:p>
        </w:tc>
        <w:tc>
          <w:tcPr>
            <w:tcW w:w="9880" w:type="dxa"/>
            <w:vAlign w:val="bottom"/>
            <w:gridSpan w:val="12"/>
          </w:tcPr>
          <w:p>
            <w:pPr>
              <w:spacing w:after="0"/>
              <w:rPr>
                <w:rFonts w:ascii="Arial" w:cs="Arial" w:eastAsia="Arial" w:hAnsi="Arial"/>
                <w:sz w:val="14"/>
                <w:szCs w:val="14"/>
                <w:color w:val="0000FF"/>
                <w:w w:val="96"/>
              </w:rPr>
            </w:pPr>
            <w:hyperlink r:id="rId24">
              <w:r>
                <w:rPr>
                  <w:rFonts w:ascii="Arial" w:cs="Arial" w:eastAsia="Arial" w:hAnsi="Arial"/>
                  <w:sz w:val="14"/>
                  <w:szCs w:val="14"/>
                  <w:color w:val="0000FF"/>
                  <w:w w:val="96"/>
                </w:rPr>
                <w:t>Form of Performance-based Restricted Stock Agreement for Executive Officers under The Howard Hughes Corporation 2010 Amended and Restated Incentive Plan</w:t>
              </w:r>
            </w:hyperlink>
          </w:p>
        </w:tc>
      </w:tr>
      <w:tr>
        <w:trPr>
          <w:trHeight w:val="152"/>
        </w:trPr>
        <w:tc>
          <w:tcPr>
            <w:tcW w:w="148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10"/>
          </w:tcPr>
          <w:p>
            <w:pPr>
              <w:spacing w:after="0" w:line="153" w:lineRule="exact"/>
              <w:rPr>
                <w:rFonts w:ascii="Arial" w:cs="Arial" w:eastAsia="Arial" w:hAnsi="Arial"/>
                <w:sz w:val="14"/>
                <w:szCs w:val="14"/>
                <w:color w:val="0000FF"/>
                <w:w w:val="93"/>
              </w:rPr>
            </w:pPr>
            <w:hyperlink r:id="rId24">
              <w:r>
                <w:rPr>
                  <w:rFonts w:ascii="Arial" w:cs="Arial" w:eastAsia="Arial" w:hAnsi="Arial"/>
                  <w:sz w:val="14"/>
                  <w:szCs w:val="14"/>
                  <w:color w:val="0000FF"/>
                  <w:w w:val="93"/>
                </w:rPr>
                <w:t>(incorporated by reference to Exhibit 10.8 to the Company’s Current Report on Form 10-K, filed February 27, 2019)</w:t>
              </w:r>
            </w:hyperlink>
          </w:p>
        </w:tc>
        <w:tc>
          <w:tcPr>
            <w:tcW w:w="31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627"/>
        </w:trPr>
        <w:tc>
          <w:tcPr>
            <w:tcW w:w="1480" w:type="dxa"/>
            <w:vAlign w:val="bottom"/>
          </w:tcPr>
          <w:p>
            <w:pPr>
              <w:spacing w:after="0"/>
              <w:rPr>
                <w:sz w:val="20"/>
                <w:szCs w:val="20"/>
                <w:color w:val="auto"/>
              </w:rPr>
            </w:pPr>
            <w:r>
              <w:rPr>
                <w:rFonts w:ascii="Arial" w:cs="Arial" w:eastAsia="Arial" w:hAnsi="Arial"/>
                <w:sz w:val="14"/>
                <w:szCs w:val="14"/>
                <w:color w:val="auto"/>
              </w:rPr>
              <w:t>10.9*</w:t>
            </w:r>
          </w:p>
        </w:tc>
        <w:tc>
          <w:tcPr>
            <w:tcW w:w="9880" w:type="dxa"/>
            <w:vAlign w:val="bottom"/>
            <w:tcBorders>
              <w:bottom w:val="single" w:sz="8" w:color="0000FF"/>
            </w:tcBorders>
            <w:gridSpan w:val="12"/>
          </w:tcPr>
          <w:p>
            <w:pPr>
              <w:spacing w:after="0"/>
              <w:rPr>
                <w:rFonts w:ascii="Arial" w:cs="Arial" w:eastAsia="Arial" w:hAnsi="Arial"/>
                <w:sz w:val="14"/>
                <w:szCs w:val="14"/>
                <w:color w:val="0000FF"/>
                <w:w w:val="95"/>
              </w:rPr>
            </w:pPr>
            <w:hyperlink r:id="rId25">
              <w:r>
                <w:rPr>
                  <w:rFonts w:ascii="Arial" w:cs="Arial" w:eastAsia="Arial" w:hAnsi="Arial"/>
                  <w:sz w:val="14"/>
                  <w:szCs w:val="14"/>
                  <w:color w:val="0000FF"/>
                  <w:w w:val="95"/>
                </w:rPr>
                <w:t>Form of Time-based Restricted Stock Agreement for Employees under The Howard Hughes Corporation Amended and Restated 2010 Incentive Plan (incorporated by</w:t>
              </w:r>
            </w:hyperlink>
          </w:p>
        </w:tc>
      </w:tr>
      <w:tr>
        <w:trPr>
          <w:trHeight w:val="152"/>
        </w:trPr>
        <w:tc>
          <w:tcPr>
            <w:tcW w:w="1480" w:type="dxa"/>
            <w:vAlign w:val="bottom"/>
          </w:tcPr>
          <w:p>
            <w:pPr>
              <w:spacing w:after="0"/>
              <w:rPr>
                <w:sz w:val="13"/>
                <w:szCs w:val="13"/>
                <w:color w:val="auto"/>
              </w:rPr>
            </w:pPr>
          </w:p>
        </w:tc>
        <w:tc>
          <w:tcPr>
            <w:tcW w:w="5720" w:type="dxa"/>
            <w:vAlign w:val="bottom"/>
            <w:tcBorders>
              <w:bottom w:val="single" w:sz="8" w:color="0000FF"/>
            </w:tcBorders>
            <w:gridSpan w:val="7"/>
          </w:tcPr>
          <w:p>
            <w:pPr>
              <w:spacing w:after="0" w:line="153" w:lineRule="exact"/>
              <w:rPr>
                <w:rFonts w:ascii="Arial" w:cs="Arial" w:eastAsia="Arial" w:hAnsi="Arial"/>
                <w:sz w:val="14"/>
                <w:szCs w:val="14"/>
                <w:color w:val="0000FF"/>
                <w:w w:val="93"/>
              </w:rPr>
            </w:pPr>
            <w:hyperlink r:id="rId25">
              <w:r>
                <w:rPr>
                  <w:rFonts w:ascii="Arial" w:cs="Arial" w:eastAsia="Arial" w:hAnsi="Arial"/>
                  <w:sz w:val="14"/>
                  <w:szCs w:val="14"/>
                  <w:color w:val="0000FF"/>
                  <w:w w:val="93"/>
                </w:rPr>
                <w:t>reference to Exhibit 10.9 to the Company’s Current Report on Form 10-K, filed February 27, 2019)</w:t>
              </w:r>
            </w:hyperlink>
          </w:p>
        </w:tc>
        <w:tc>
          <w:tcPr>
            <w:tcW w:w="4160" w:type="dxa"/>
            <w:vAlign w:val="bottom"/>
            <w:gridSpan w:val="5"/>
          </w:tcPr>
          <w:p>
            <w:pPr>
              <w:spacing w:after="0"/>
              <w:rPr>
                <w:sz w:val="13"/>
                <w:szCs w:val="13"/>
                <w:color w:val="auto"/>
              </w:rPr>
            </w:pPr>
          </w:p>
        </w:tc>
      </w:tr>
      <w:tr>
        <w:trPr>
          <w:trHeight w:val="627"/>
        </w:trPr>
        <w:tc>
          <w:tcPr>
            <w:tcW w:w="1480" w:type="dxa"/>
            <w:vAlign w:val="bottom"/>
          </w:tcPr>
          <w:p>
            <w:pPr>
              <w:spacing w:after="0"/>
              <w:rPr>
                <w:sz w:val="20"/>
                <w:szCs w:val="20"/>
                <w:color w:val="auto"/>
              </w:rPr>
            </w:pPr>
            <w:r>
              <w:rPr>
                <w:rFonts w:ascii="Arial" w:cs="Arial" w:eastAsia="Arial" w:hAnsi="Arial"/>
                <w:sz w:val="14"/>
                <w:szCs w:val="14"/>
                <w:color w:val="auto"/>
              </w:rPr>
              <w:t>10.10*</w:t>
            </w:r>
          </w:p>
        </w:tc>
        <w:tc>
          <w:tcPr>
            <w:tcW w:w="9880" w:type="dxa"/>
            <w:vAlign w:val="bottom"/>
            <w:tcBorders>
              <w:bottom w:val="single" w:sz="8" w:color="0000FF"/>
            </w:tcBorders>
            <w:gridSpan w:val="12"/>
          </w:tcPr>
          <w:p>
            <w:pPr>
              <w:spacing w:after="0"/>
              <w:rPr>
                <w:rFonts w:ascii="Arial" w:cs="Arial" w:eastAsia="Arial" w:hAnsi="Arial"/>
                <w:sz w:val="14"/>
                <w:szCs w:val="14"/>
                <w:color w:val="0000FF"/>
                <w:w w:val="93"/>
              </w:rPr>
            </w:pPr>
            <w:hyperlink r:id="rId26">
              <w:r>
                <w:rPr>
                  <w:rFonts w:ascii="Arial" w:cs="Arial" w:eastAsia="Arial" w:hAnsi="Arial"/>
                  <w:sz w:val="14"/>
                  <w:szCs w:val="14"/>
                  <w:color w:val="0000FF"/>
                  <w:w w:val="93"/>
                </w:rPr>
                <w:t>Form of Performance-based Restricted Stock Agreement for Employees under The Howard Hughes Corporation Amended and Restated 2010 Incentive Plan (incorporated</w:t>
              </w:r>
            </w:hyperlink>
          </w:p>
        </w:tc>
      </w:tr>
      <w:tr>
        <w:trPr>
          <w:trHeight w:val="152"/>
        </w:trPr>
        <w:tc>
          <w:tcPr>
            <w:tcW w:w="1480" w:type="dxa"/>
            <w:vAlign w:val="bottom"/>
          </w:tcPr>
          <w:p>
            <w:pPr>
              <w:spacing w:after="0"/>
              <w:rPr>
                <w:sz w:val="13"/>
                <w:szCs w:val="13"/>
                <w:color w:val="auto"/>
              </w:rPr>
            </w:pPr>
          </w:p>
        </w:tc>
        <w:tc>
          <w:tcPr>
            <w:tcW w:w="9880" w:type="dxa"/>
            <w:vAlign w:val="bottom"/>
            <w:gridSpan w:val="12"/>
          </w:tcPr>
          <w:p>
            <w:pPr>
              <w:spacing w:after="0" w:line="153" w:lineRule="exact"/>
              <w:rPr>
                <w:rFonts w:ascii="Arial" w:cs="Arial" w:eastAsia="Arial" w:hAnsi="Arial"/>
                <w:sz w:val="14"/>
                <w:szCs w:val="14"/>
                <w:color w:val="0000FF"/>
              </w:rPr>
            </w:pPr>
            <w:hyperlink r:id="rId26">
              <w:r>
                <w:rPr>
                  <w:rFonts w:ascii="Arial" w:cs="Arial" w:eastAsia="Arial" w:hAnsi="Arial"/>
                  <w:sz w:val="14"/>
                  <w:szCs w:val="14"/>
                  <w:color w:val="0000FF"/>
                </w:rPr>
                <w:t>by reference to Exhibit 10.10 to the Company’s Current Report on Form 10-K, filed February 27, 2019)</w:t>
              </w:r>
            </w:hyperlink>
          </w:p>
        </w:tc>
      </w:tr>
      <w:tr>
        <w:trPr>
          <w:trHeight w:val="20"/>
        </w:trPr>
        <w:tc>
          <w:tcPr>
            <w:tcW w:w="148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7"/>
        </w:trPr>
        <w:tc>
          <w:tcPr>
            <w:tcW w:w="1480" w:type="dxa"/>
            <w:vAlign w:val="bottom"/>
          </w:tcPr>
          <w:p>
            <w:pPr>
              <w:spacing w:after="0"/>
              <w:rPr>
                <w:sz w:val="20"/>
                <w:szCs w:val="20"/>
                <w:color w:val="auto"/>
              </w:rPr>
            </w:pPr>
            <w:r>
              <w:rPr>
                <w:rFonts w:ascii="Arial" w:cs="Arial" w:eastAsia="Arial" w:hAnsi="Arial"/>
                <w:sz w:val="14"/>
                <w:szCs w:val="14"/>
                <w:color w:val="auto"/>
              </w:rPr>
              <w:t>10.11*</w:t>
            </w:r>
          </w:p>
        </w:tc>
        <w:tc>
          <w:tcPr>
            <w:tcW w:w="9880" w:type="dxa"/>
            <w:vAlign w:val="bottom"/>
            <w:tcBorders>
              <w:bottom w:val="single" w:sz="8" w:color="0000FF"/>
            </w:tcBorders>
            <w:gridSpan w:val="12"/>
          </w:tcPr>
          <w:p>
            <w:pPr>
              <w:spacing w:after="0"/>
              <w:rPr>
                <w:rFonts w:ascii="Arial" w:cs="Arial" w:eastAsia="Arial" w:hAnsi="Arial"/>
                <w:sz w:val="14"/>
                <w:szCs w:val="14"/>
                <w:color w:val="0000FF"/>
                <w:w w:val="94"/>
              </w:rPr>
            </w:pPr>
            <w:hyperlink r:id="rId27">
              <w:r>
                <w:rPr>
                  <w:rFonts w:ascii="Arial" w:cs="Arial" w:eastAsia="Arial" w:hAnsi="Arial"/>
                  <w:sz w:val="14"/>
                  <w:szCs w:val="14"/>
                  <w:color w:val="0000FF"/>
                  <w:w w:val="94"/>
                </w:rPr>
                <w:t>Employment Agreement, dated as of August 29, 2017, between The Howard Hughes Corporation and David R. Weinreb (incorporated by reference to Exhibit 10.1 to the</w:t>
              </w:r>
            </w:hyperlink>
          </w:p>
        </w:tc>
      </w:tr>
      <w:tr>
        <w:trPr>
          <w:trHeight w:val="152"/>
        </w:trPr>
        <w:tc>
          <w:tcPr>
            <w:tcW w:w="1480" w:type="dxa"/>
            <w:vAlign w:val="bottom"/>
          </w:tcPr>
          <w:p>
            <w:pPr>
              <w:spacing w:after="0"/>
              <w:rPr>
                <w:sz w:val="13"/>
                <w:szCs w:val="13"/>
                <w:color w:val="auto"/>
              </w:rPr>
            </w:pPr>
          </w:p>
        </w:tc>
        <w:tc>
          <w:tcPr>
            <w:tcW w:w="3880" w:type="dxa"/>
            <w:vAlign w:val="bottom"/>
            <w:tcBorders>
              <w:bottom w:val="single" w:sz="8" w:color="0000FF"/>
            </w:tcBorders>
            <w:gridSpan w:val="4"/>
          </w:tcPr>
          <w:p>
            <w:pPr>
              <w:spacing w:after="0" w:line="153" w:lineRule="exact"/>
              <w:rPr>
                <w:rFonts w:ascii="Arial" w:cs="Arial" w:eastAsia="Arial" w:hAnsi="Arial"/>
                <w:sz w:val="14"/>
                <w:szCs w:val="14"/>
                <w:color w:val="0000FF"/>
                <w:w w:val="93"/>
              </w:rPr>
            </w:pPr>
            <w:hyperlink r:id="rId27">
              <w:r>
                <w:rPr>
                  <w:rFonts w:ascii="Arial" w:cs="Arial" w:eastAsia="Arial" w:hAnsi="Arial"/>
                  <w:sz w:val="14"/>
                  <w:szCs w:val="14"/>
                  <w:color w:val="0000FF"/>
                  <w:w w:val="93"/>
                </w:rPr>
                <w:t>Company’s Current Report on Form 8-K, filed September 5, 2017)</w:t>
              </w:r>
            </w:hyperlink>
          </w:p>
        </w:tc>
        <w:tc>
          <w:tcPr>
            <w:tcW w:w="6000" w:type="dxa"/>
            <w:vAlign w:val="bottom"/>
            <w:gridSpan w:val="8"/>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10.12*</w:t>
            </w:r>
          </w:p>
        </w:tc>
        <w:tc>
          <w:tcPr>
            <w:tcW w:w="9880" w:type="dxa"/>
            <w:vAlign w:val="bottom"/>
            <w:gridSpan w:val="12"/>
          </w:tcPr>
          <w:p>
            <w:pPr>
              <w:spacing w:after="0"/>
              <w:rPr>
                <w:rFonts w:ascii="Arial" w:cs="Arial" w:eastAsia="Arial" w:hAnsi="Arial"/>
                <w:sz w:val="14"/>
                <w:szCs w:val="14"/>
                <w:color w:val="0000FF"/>
                <w:w w:val="97"/>
              </w:rPr>
            </w:pPr>
            <w:hyperlink r:id="rId28">
              <w:r>
                <w:rPr>
                  <w:rFonts w:ascii="Arial" w:cs="Arial" w:eastAsia="Arial" w:hAnsi="Arial"/>
                  <w:sz w:val="14"/>
                  <w:szCs w:val="14"/>
                  <w:color w:val="0000FF"/>
                  <w:w w:val="97"/>
                </w:rPr>
                <w:t>Employment Agreement, dated as of October 2, 2017, between The Howard Hughes Corporation and Grant Herlitz (incorporated by reference to Exhibit 10.2 to the</w:t>
              </w:r>
            </w:hyperlink>
          </w:p>
        </w:tc>
      </w:tr>
      <w:tr>
        <w:trPr>
          <w:trHeight w:val="152"/>
        </w:trPr>
        <w:tc>
          <w:tcPr>
            <w:tcW w:w="1480" w:type="dxa"/>
            <w:vAlign w:val="bottom"/>
          </w:tcPr>
          <w:p>
            <w:pPr>
              <w:spacing w:after="0"/>
              <w:rPr>
                <w:sz w:val="13"/>
                <w:szCs w:val="13"/>
                <w:color w:val="auto"/>
              </w:rPr>
            </w:pPr>
          </w:p>
        </w:tc>
        <w:tc>
          <w:tcPr>
            <w:tcW w:w="9860" w:type="dxa"/>
            <w:vAlign w:val="bottom"/>
            <w:tcBorders>
              <w:top w:val="single" w:sz="8" w:color="0000FF"/>
            </w:tcBorders>
            <w:gridSpan w:val="11"/>
          </w:tcPr>
          <w:p>
            <w:pPr>
              <w:spacing w:after="0" w:line="153" w:lineRule="exact"/>
              <w:rPr>
                <w:rFonts w:ascii="Arial" w:cs="Arial" w:eastAsia="Arial" w:hAnsi="Arial"/>
                <w:sz w:val="14"/>
                <w:szCs w:val="14"/>
                <w:color w:val="0000FF"/>
              </w:rPr>
            </w:pPr>
            <w:hyperlink r:id="rId28">
              <w:r>
                <w:rPr>
                  <w:rFonts w:ascii="Arial" w:cs="Arial" w:eastAsia="Arial" w:hAnsi="Arial"/>
                  <w:sz w:val="14"/>
                  <w:szCs w:val="14"/>
                  <w:color w:val="0000FF"/>
                </w:rPr>
                <w:t>Company’s Current Report on Form 8-K, filed October 5, 2017)</w:t>
              </w:r>
            </w:hyperlink>
          </w:p>
        </w:tc>
        <w:tc>
          <w:tcPr>
            <w:tcW w:w="20" w:type="dxa"/>
            <w:vAlign w:val="bottom"/>
          </w:tcPr>
          <w:p>
            <w:pPr>
              <w:spacing w:after="0"/>
              <w:rPr>
                <w:sz w:val="13"/>
                <w:szCs w:val="13"/>
                <w:color w:val="auto"/>
              </w:rPr>
            </w:pPr>
          </w:p>
        </w:tc>
      </w:tr>
      <w:tr>
        <w:trPr>
          <w:trHeight w:val="20"/>
        </w:trPr>
        <w:tc>
          <w:tcPr>
            <w:tcW w:w="148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10.13*</w:t>
            </w:r>
          </w:p>
        </w:tc>
        <w:tc>
          <w:tcPr>
            <w:tcW w:w="9880" w:type="dxa"/>
            <w:vAlign w:val="bottom"/>
            <w:tcBorders>
              <w:bottom w:val="single" w:sz="8" w:color="0000FF"/>
            </w:tcBorders>
            <w:gridSpan w:val="12"/>
          </w:tcPr>
          <w:p>
            <w:pPr>
              <w:spacing w:after="0"/>
              <w:rPr>
                <w:rFonts w:ascii="Arial" w:cs="Arial" w:eastAsia="Arial" w:hAnsi="Arial"/>
                <w:sz w:val="14"/>
                <w:szCs w:val="14"/>
                <w:color w:val="0000FF"/>
                <w:w w:val="95"/>
              </w:rPr>
            </w:pPr>
            <w:hyperlink r:id="rId29">
              <w:r>
                <w:rPr>
                  <w:rFonts w:ascii="Arial" w:cs="Arial" w:eastAsia="Arial" w:hAnsi="Arial"/>
                  <w:sz w:val="14"/>
                  <w:szCs w:val="14"/>
                  <w:color w:val="0000FF"/>
                  <w:w w:val="95"/>
                </w:rPr>
                <w:t>Employment Agreement, dated as of November 6, 2017, between The Howard Hughes Corporation and Peter F. Riley (incorporated by reference to Exhibit 10.1 to the</w:t>
              </w:r>
            </w:hyperlink>
          </w:p>
        </w:tc>
      </w:tr>
      <w:tr>
        <w:trPr>
          <w:trHeight w:val="152"/>
        </w:trPr>
        <w:tc>
          <w:tcPr>
            <w:tcW w:w="1480" w:type="dxa"/>
            <w:vAlign w:val="bottom"/>
          </w:tcPr>
          <w:p>
            <w:pPr>
              <w:spacing w:after="0"/>
              <w:rPr>
                <w:sz w:val="13"/>
                <w:szCs w:val="13"/>
                <w:color w:val="auto"/>
              </w:rPr>
            </w:pPr>
          </w:p>
        </w:tc>
        <w:tc>
          <w:tcPr>
            <w:tcW w:w="3840" w:type="dxa"/>
            <w:vAlign w:val="bottom"/>
            <w:tcBorders>
              <w:bottom w:val="single" w:sz="8" w:color="0000FF"/>
            </w:tcBorders>
            <w:gridSpan w:val="3"/>
          </w:tcPr>
          <w:p>
            <w:pPr>
              <w:spacing w:after="0" w:line="153" w:lineRule="exact"/>
              <w:rPr>
                <w:rFonts w:ascii="Arial" w:cs="Arial" w:eastAsia="Arial" w:hAnsi="Arial"/>
                <w:sz w:val="14"/>
                <w:szCs w:val="14"/>
                <w:color w:val="0000FF"/>
                <w:w w:val="94"/>
              </w:rPr>
            </w:pPr>
            <w:hyperlink r:id="rId29">
              <w:r>
                <w:rPr>
                  <w:rFonts w:ascii="Arial" w:cs="Arial" w:eastAsia="Arial" w:hAnsi="Arial"/>
                  <w:sz w:val="14"/>
                  <w:szCs w:val="14"/>
                  <w:color w:val="0000FF"/>
                  <w:w w:val="94"/>
                </w:rPr>
                <w:t>Company’s Current Report on Form 8-K, filed November 9, 2017)</w:t>
              </w:r>
            </w:hyperlink>
          </w:p>
        </w:tc>
        <w:tc>
          <w:tcPr>
            <w:tcW w:w="6040" w:type="dxa"/>
            <w:vAlign w:val="bottom"/>
            <w:gridSpan w:val="9"/>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10.14*</w:t>
            </w:r>
          </w:p>
        </w:tc>
        <w:tc>
          <w:tcPr>
            <w:tcW w:w="9880" w:type="dxa"/>
            <w:vAlign w:val="bottom"/>
            <w:tcBorders>
              <w:bottom w:val="single" w:sz="8" w:color="0000FF"/>
            </w:tcBorders>
            <w:gridSpan w:val="12"/>
          </w:tcPr>
          <w:p>
            <w:pPr>
              <w:spacing w:after="0"/>
              <w:rPr>
                <w:rFonts w:ascii="Arial" w:cs="Arial" w:eastAsia="Arial" w:hAnsi="Arial"/>
                <w:sz w:val="14"/>
                <w:szCs w:val="14"/>
                <w:color w:val="0000FF"/>
                <w:w w:val="93"/>
              </w:rPr>
            </w:pPr>
            <w:hyperlink r:id="rId30">
              <w:r>
                <w:rPr>
                  <w:rFonts w:ascii="Arial" w:cs="Arial" w:eastAsia="Arial" w:hAnsi="Arial"/>
                  <w:sz w:val="14"/>
                  <w:szCs w:val="14"/>
                  <w:color w:val="0000FF"/>
                  <w:w w:val="93"/>
                </w:rPr>
                <w:t>Amended and Restated Employment Agreement, dated as of February 21, 2018, between The Howard Hughes Corporation and David O’Reilly (incorporated by reference</w:t>
              </w:r>
            </w:hyperlink>
          </w:p>
        </w:tc>
      </w:tr>
      <w:tr>
        <w:trPr>
          <w:trHeight w:val="152"/>
        </w:trPr>
        <w:tc>
          <w:tcPr>
            <w:tcW w:w="1480" w:type="dxa"/>
            <w:vAlign w:val="bottom"/>
          </w:tcPr>
          <w:p>
            <w:pPr>
              <w:spacing w:after="0"/>
              <w:rPr>
                <w:sz w:val="13"/>
                <w:szCs w:val="13"/>
                <w:color w:val="auto"/>
              </w:rPr>
            </w:pPr>
          </w:p>
        </w:tc>
        <w:tc>
          <w:tcPr>
            <w:tcW w:w="5200" w:type="dxa"/>
            <w:vAlign w:val="bottom"/>
            <w:tcBorders>
              <w:bottom w:val="single" w:sz="8" w:color="0000FF"/>
            </w:tcBorders>
            <w:gridSpan w:val="6"/>
          </w:tcPr>
          <w:p>
            <w:pPr>
              <w:spacing w:after="0" w:line="153" w:lineRule="exact"/>
              <w:rPr>
                <w:rFonts w:ascii="Arial" w:cs="Arial" w:eastAsia="Arial" w:hAnsi="Arial"/>
                <w:sz w:val="14"/>
                <w:szCs w:val="14"/>
                <w:color w:val="0000FF"/>
                <w:w w:val="94"/>
              </w:rPr>
            </w:pPr>
            <w:hyperlink r:id="rId30">
              <w:r>
                <w:rPr>
                  <w:rFonts w:ascii="Arial" w:cs="Arial" w:eastAsia="Arial" w:hAnsi="Arial"/>
                  <w:sz w:val="14"/>
                  <w:szCs w:val="14"/>
                  <w:color w:val="0000FF"/>
                  <w:w w:val="94"/>
                </w:rPr>
                <w:t>to Exhibit 10.11 to the Company’s Annual Report on Form 10-K, filed February 26, 2018)</w:t>
              </w:r>
            </w:hyperlink>
          </w:p>
        </w:tc>
        <w:tc>
          <w:tcPr>
            <w:tcW w:w="4680" w:type="dxa"/>
            <w:vAlign w:val="bottom"/>
            <w:gridSpan w:val="6"/>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10.15*</w:t>
            </w:r>
          </w:p>
        </w:tc>
        <w:tc>
          <w:tcPr>
            <w:tcW w:w="9880" w:type="dxa"/>
            <w:vAlign w:val="bottom"/>
            <w:tcBorders>
              <w:bottom w:val="single" w:sz="8" w:color="0000FF"/>
            </w:tcBorders>
            <w:gridSpan w:val="12"/>
          </w:tcPr>
          <w:p>
            <w:pPr>
              <w:spacing w:after="0"/>
              <w:rPr>
                <w:rFonts w:ascii="Arial" w:cs="Arial" w:eastAsia="Arial" w:hAnsi="Arial"/>
                <w:sz w:val="14"/>
                <w:szCs w:val="14"/>
                <w:color w:val="0000FF"/>
                <w:w w:val="94"/>
              </w:rPr>
            </w:pPr>
            <w:hyperlink r:id="rId31">
              <w:r>
                <w:rPr>
                  <w:rFonts w:ascii="Arial" w:cs="Arial" w:eastAsia="Arial" w:hAnsi="Arial"/>
                  <w:sz w:val="14"/>
                  <w:szCs w:val="14"/>
                  <w:color w:val="0000FF"/>
                  <w:w w:val="94"/>
                </w:rPr>
                <w:t>Restricted Stock Agreement, dated as of August 29, 2017, between The Howard Hughes Corporation and David R. Weinreb (incorporated by reference to Exhibit 10.2 to</w:t>
              </w:r>
            </w:hyperlink>
          </w:p>
        </w:tc>
      </w:tr>
      <w:tr>
        <w:trPr>
          <w:trHeight w:val="152"/>
        </w:trPr>
        <w:tc>
          <w:tcPr>
            <w:tcW w:w="1480" w:type="dxa"/>
            <w:vAlign w:val="bottom"/>
          </w:tcPr>
          <w:p>
            <w:pPr>
              <w:spacing w:after="0"/>
              <w:rPr>
                <w:sz w:val="13"/>
                <w:szCs w:val="13"/>
                <w:color w:val="auto"/>
              </w:rPr>
            </w:pPr>
          </w:p>
        </w:tc>
        <w:tc>
          <w:tcPr>
            <w:tcW w:w="4060" w:type="dxa"/>
            <w:vAlign w:val="bottom"/>
            <w:tcBorders>
              <w:bottom w:val="single" w:sz="8" w:color="0000FF"/>
            </w:tcBorders>
            <w:gridSpan w:val="5"/>
          </w:tcPr>
          <w:p>
            <w:pPr>
              <w:spacing w:after="0" w:line="153" w:lineRule="exact"/>
              <w:rPr>
                <w:rFonts w:ascii="Arial" w:cs="Arial" w:eastAsia="Arial" w:hAnsi="Arial"/>
                <w:sz w:val="14"/>
                <w:szCs w:val="14"/>
                <w:color w:val="0000FF"/>
                <w:w w:val="93"/>
              </w:rPr>
            </w:pPr>
            <w:hyperlink r:id="rId31">
              <w:r>
                <w:rPr>
                  <w:rFonts w:ascii="Arial" w:cs="Arial" w:eastAsia="Arial" w:hAnsi="Arial"/>
                  <w:sz w:val="14"/>
                  <w:szCs w:val="14"/>
                  <w:color w:val="0000FF"/>
                  <w:w w:val="93"/>
                </w:rPr>
                <w:t>the Company’s Current Report on Form 8-K, filed September 5, 2017)</w:t>
              </w:r>
            </w:hyperlink>
          </w:p>
        </w:tc>
        <w:tc>
          <w:tcPr>
            <w:tcW w:w="5820" w:type="dxa"/>
            <w:vAlign w:val="bottom"/>
            <w:gridSpan w:val="7"/>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10.16*</w:t>
            </w:r>
          </w:p>
        </w:tc>
        <w:tc>
          <w:tcPr>
            <w:tcW w:w="9880" w:type="dxa"/>
            <w:vAlign w:val="bottom"/>
            <w:tcBorders>
              <w:bottom w:val="single" w:sz="8" w:color="0000FF"/>
            </w:tcBorders>
            <w:gridSpan w:val="12"/>
          </w:tcPr>
          <w:p>
            <w:pPr>
              <w:spacing w:after="0"/>
              <w:rPr>
                <w:rFonts w:ascii="Arial" w:cs="Arial" w:eastAsia="Arial" w:hAnsi="Arial"/>
                <w:sz w:val="14"/>
                <w:szCs w:val="14"/>
                <w:color w:val="0000FF"/>
                <w:w w:val="95"/>
              </w:rPr>
            </w:pPr>
            <w:hyperlink r:id="rId32">
              <w:r>
                <w:rPr>
                  <w:rFonts w:ascii="Arial" w:cs="Arial" w:eastAsia="Arial" w:hAnsi="Arial"/>
                  <w:sz w:val="14"/>
                  <w:szCs w:val="14"/>
                  <w:color w:val="0000FF"/>
                  <w:w w:val="95"/>
                </w:rPr>
                <w:t>Restricted Stock Agreement, dated as of October 2, 2017, between The Howard Hughes Corporation and Grant Herlitz (incorporated by reference to Exhibit 10.3 to the</w:t>
              </w:r>
            </w:hyperlink>
          </w:p>
        </w:tc>
      </w:tr>
      <w:tr>
        <w:trPr>
          <w:trHeight w:val="152"/>
        </w:trPr>
        <w:tc>
          <w:tcPr>
            <w:tcW w:w="1480" w:type="dxa"/>
            <w:vAlign w:val="bottom"/>
          </w:tcPr>
          <w:p>
            <w:pPr>
              <w:spacing w:after="0"/>
              <w:rPr>
                <w:sz w:val="13"/>
                <w:szCs w:val="13"/>
                <w:color w:val="auto"/>
              </w:rPr>
            </w:pPr>
          </w:p>
        </w:tc>
        <w:tc>
          <w:tcPr>
            <w:tcW w:w="9880" w:type="dxa"/>
            <w:vAlign w:val="bottom"/>
            <w:gridSpan w:val="12"/>
          </w:tcPr>
          <w:p>
            <w:pPr>
              <w:spacing w:after="0" w:line="153" w:lineRule="exact"/>
              <w:rPr>
                <w:rFonts w:ascii="Arial" w:cs="Arial" w:eastAsia="Arial" w:hAnsi="Arial"/>
                <w:sz w:val="14"/>
                <w:szCs w:val="14"/>
                <w:color w:val="0000FF"/>
              </w:rPr>
            </w:pPr>
            <w:hyperlink r:id="rId32">
              <w:r>
                <w:rPr>
                  <w:rFonts w:ascii="Arial" w:cs="Arial" w:eastAsia="Arial" w:hAnsi="Arial"/>
                  <w:sz w:val="14"/>
                  <w:szCs w:val="14"/>
                  <w:color w:val="0000FF"/>
                </w:rPr>
                <w:t>Company’s Current Report on Form 8-K, filed October 5, 2017)</w:t>
              </w:r>
            </w:hyperlink>
          </w:p>
        </w:tc>
      </w:tr>
      <w:tr>
        <w:trPr>
          <w:trHeight w:val="20"/>
        </w:trPr>
        <w:tc>
          <w:tcPr>
            <w:tcW w:w="148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10.17*</w:t>
            </w:r>
          </w:p>
        </w:tc>
        <w:tc>
          <w:tcPr>
            <w:tcW w:w="9880" w:type="dxa"/>
            <w:vAlign w:val="bottom"/>
            <w:tcBorders>
              <w:bottom w:val="single" w:sz="8" w:color="0000FF"/>
            </w:tcBorders>
            <w:gridSpan w:val="12"/>
          </w:tcPr>
          <w:p>
            <w:pPr>
              <w:spacing w:after="0"/>
              <w:rPr>
                <w:rFonts w:ascii="Arial" w:cs="Arial" w:eastAsia="Arial" w:hAnsi="Arial"/>
                <w:sz w:val="14"/>
                <w:szCs w:val="14"/>
                <w:color w:val="0000FF"/>
                <w:w w:val="93"/>
              </w:rPr>
            </w:pPr>
            <w:hyperlink r:id="rId33">
              <w:r>
                <w:rPr>
                  <w:rFonts w:ascii="Arial" w:cs="Arial" w:eastAsia="Arial" w:hAnsi="Arial"/>
                  <w:sz w:val="14"/>
                  <w:szCs w:val="14"/>
                  <w:color w:val="0000FF"/>
                  <w:w w:val="93"/>
                </w:rPr>
                <w:t>Restricted Stock Agreement, dated as of November 8, 2017, between The Howard Hughes Corporation and Peter F. Riley (incorporated by reference to Exhibit 10.2 to the</w:t>
              </w:r>
            </w:hyperlink>
          </w:p>
        </w:tc>
      </w:tr>
      <w:tr>
        <w:trPr>
          <w:trHeight w:val="152"/>
        </w:trPr>
        <w:tc>
          <w:tcPr>
            <w:tcW w:w="1480" w:type="dxa"/>
            <w:vAlign w:val="bottom"/>
          </w:tcPr>
          <w:p>
            <w:pPr>
              <w:spacing w:after="0"/>
              <w:rPr>
                <w:sz w:val="13"/>
                <w:szCs w:val="13"/>
                <w:color w:val="auto"/>
              </w:rPr>
            </w:pPr>
          </w:p>
        </w:tc>
        <w:tc>
          <w:tcPr>
            <w:tcW w:w="3840" w:type="dxa"/>
            <w:vAlign w:val="bottom"/>
            <w:tcBorders>
              <w:bottom w:val="single" w:sz="8" w:color="0000FF"/>
            </w:tcBorders>
            <w:gridSpan w:val="3"/>
          </w:tcPr>
          <w:p>
            <w:pPr>
              <w:spacing w:after="0" w:line="153" w:lineRule="exact"/>
              <w:rPr>
                <w:rFonts w:ascii="Arial" w:cs="Arial" w:eastAsia="Arial" w:hAnsi="Arial"/>
                <w:sz w:val="14"/>
                <w:szCs w:val="14"/>
                <w:color w:val="0000FF"/>
                <w:w w:val="94"/>
              </w:rPr>
            </w:pPr>
            <w:hyperlink r:id="rId33">
              <w:r>
                <w:rPr>
                  <w:rFonts w:ascii="Arial" w:cs="Arial" w:eastAsia="Arial" w:hAnsi="Arial"/>
                  <w:sz w:val="14"/>
                  <w:szCs w:val="14"/>
                  <w:color w:val="0000FF"/>
                  <w:w w:val="94"/>
                </w:rPr>
                <w:t>Company’s Current Report on Form 8-K, filed November 9, 2017)</w:t>
              </w:r>
            </w:hyperlink>
          </w:p>
        </w:tc>
        <w:tc>
          <w:tcPr>
            <w:tcW w:w="6040" w:type="dxa"/>
            <w:vAlign w:val="bottom"/>
            <w:gridSpan w:val="9"/>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10.18*</w:t>
            </w:r>
          </w:p>
        </w:tc>
        <w:tc>
          <w:tcPr>
            <w:tcW w:w="9880" w:type="dxa"/>
            <w:vAlign w:val="bottom"/>
            <w:tcBorders>
              <w:bottom w:val="single" w:sz="8" w:color="0000FF"/>
            </w:tcBorders>
            <w:gridSpan w:val="12"/>
          </w:tcPr>
          <w:p>
            <w:pPr>
              <w:spacing w:after="0"/>
              <w:rPr>
                <w:rFonts w:ascii="Arial" w:cs="Arial" w:eastAsia="Arial" w:hAnsi="Arial"/>
                <w:sz w:val="14"/>
                <w:szCs w:val="14"/>
                <w:color w:val="0000FF"/>
                <w:w w:val="94"/>
              </w:rPr>
            </w:pPr>
            <w:hyperlink r:id="rId34">
              <w:r>
                <w:rPr>
                  <w:rFonts w:ascii="Arial" w:cs="Arial" w:eastAsia="Arial" w:hAnsi="Arial"/>
                  <w:sz w:val="14"/>
                  <w:szCs w:val="14"/>
                  <w:color w:val="0000FF"/>
                  <w:w w:val="94"/>
                </w:rPr>
                <w:t>Warrant Grant Agreement, dated as of June 16, 2017, between The Howard Hughes Corporation and David R. Weinreb (incorporated by reference to Exhibit 10.1 to the</w:t>
              </w:r>
            </w:hyperlink>
          </w:p>
        </w:tc>
      </w:tr>
      <w:tr>
        <w:trPr>
          <w:trHeight w:val="152"/>
        </w:trPr>
        <w:tc>
          <w:tcPr>
            <w:tcW w:w="1480" w:type="dxa"/>
            <w:vAlign w:val="bottom"/>
          </w:tcPr>
          <w:p>
            <w:pPr>
              <w:spacing w:after="0"/>
              <w:rPr>
                <w:sz w:val="13"/>
                <w:szCs w:val="13"/>
                <w:color w:val="auto"/>
              </w:rPr>
            </w:pPr>
          </w:p>
        </w:tc>
        <w:tc>
          <w:tcPr>
            <w:tcW w:w="9880" w:type="dxa"/>
            <w:vAlign w:val="bottom"/>
            <w:gridSpan w:val="12"/>
          </w:tcPr>
          <w:p>
            <w:pPr>
              <w:spacing w:after="0" w:line="153" w:lineRule="exact"/>
              <w:rPr>
                <w:rFonts w:ascii="Arial" w:cs="Arial" w:eastAsia="Arial" w:hAnsi="Arial"/>
                <w:sz w:val="14"/>
                <w:szCs w:val="14"/>
                <w:color w:val="0000FF"/>
              </w:rPr>
            </w:pPr>
            <w:hyperlink r:id="rId34">
              <w:r>
                <w:rPr>
                  <w:rFonts w:ascii="Arial" w:cs="Arial" w:eastAsia="Arial" w:hAnsi="Arial"/>
                  <w:sz w:val="14"/>
                  <w:szCs w:val="14"/>
                  <w:color w:val="0000FF"/>
                </w:rPr>
                <w:t>Company’s Current Report on Form 8-K, filed June 20, 2017)</w:t>
              </w:r>
            </w:hyperlink>
          </w:p>
        </w:tc>
      </w:tr>
      <w:tr>
        <w:trPr>
          <w:trHeight w:val="20"/>
        </w:trPr>
        <w:tc>
          <w:tcPr>
            <w:tcW w:w="148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6320" w:type="dxa"/>
            <w:vAlign w:val="bottom"/>
            <w:gridSpan w:val="11"/>
          </w:tcPr>
          <w:p>
            <w:pPr>
              <w:spacing w:after="0" w:line="20" w:lineRule="exact"/>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10.19*</w:t>
            </w:r>
          </w:p>
        </w:tc>
        <w:tc>
          <w:tcPr>
            <w:tcW w:w="9880" w:type="dxa"/>
            <w:vAlign w:val="bottom"/>
            <w:tcBorders>
              <w:bottom w:val="single" w:sz="8" w:color="0000FF"/>
            </w:tcBorders>
            <w:gridSpan w:val="12"/>
          </w:tcPr>
          <w:p>
            <w:pPr>
              <w:spacing w:after="0"/>
              <w:rPr>
                <w:rFonts w:ascii="Arial" w:cs="Arial" w:eastAsia="Arial" w:hAnsi="Arial"/>
                <w:sz w:val="14"/>
                <w:szCs w:val="14"/>
                <w:color w:val="0000FF"/>
                <w:w w:val="96"/>
              </w:rPr>
            </w:pPr>
            <w:hyperlink r:id="rId35">
              <w:r>
                <w:rPr>
                  <w:rFonts w:ascii="Arial" w:cs="Arial" w:eastAsia="Arial" w:hAnsi="Arial"/>
                  <w:sz w:val="14"/>
                  <w:szCs w:val="14"/>
                  <w:color w:val="0000FF"/>
                  <w:w w:val="96"/>
                </w:rPr>
                <w:t>Warrant Grant Agreement, dated as of October 4, 2017, between The Howard Hughes Corporation and Grant Herlitz (incorporated by reference to Exhibit 10.1 to the</w:t>
              </w:r>
            </w:hyperlink>
          </w:p>
        </w:tc>
      </w:tr>
      <w:tr>
        <w:trPr>
          <w:trHeight w:val="152"/>
        </w:trPr>
        <w:tc>
          <w:tcPr>
            <w:tcW w:w="1480" w:type="dxa"/>
            <w:vAlign w:val="bottom"/>
          </w:tcPr>
          <w:p>
            <w:pPr>
              <w:spacing w:after="0"/>
              <w:rPr>
                <w:sz w:val="13"/>
                <w:szCs w:val="13"/>
                <w:color w:val="auto"/>
              </w:rPr>
            </w:pPr>
          </w:p>
        </w:tc>
        <w:tc>
          <w:tcPr>
            <w:tcW w:w="9880" w:type="dxa"/>
            <w:vAlign w:val="bottom"/>
            <w:gridSpan w:val="12"/>
          </w:tcPr>
          <w:p>
            <w:pPr>
              <w:spacing w:after="0" w:line="153" w:lineRule="exact"/>
              <w:rPr>
                <w:rFonts w:ascii="Arial" w:cs="Arial" w:eastAsia="Arial" w:hAnsi="Arial"/>
                <w:sz w:val="14"/>
                <w:szCs w:val="14"/>
                <w:color w:val="0000FF"/>
              </w:rPr>
            </w:pPr>
            <w:hyperlink r:id="rId35">
              <w:r>
                <w:rPr>
                  <w:rFonts w:ascii="Arial" w:cs="Arial" w:eastAsia="Arial" w:hAnsi="Arial"/>
                  <w:sz w:val="14"/>
                  <w:szCs w:val="14"/>
                  <w:color w:val="0000FF"/>
                </w:rPr>
                <w:t>Company’s Current Report on Form 8-K, filed October 5, 2017)</w:t>
              </w:r>
            </w:hyperlink>
          </w:p>
        </w:tc>
      </w:tr>
      <w:tr>
        <w:trPr>
          <w:trHeight w:val="20"/>
        </w:trPr>
        <w:tc>
          <w:tcPr>
            <w:tcW w:w="148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60"/>
          </w:cols>
          <w:pgMar w:left="300" w:top="873"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color w:val="auto"/>
              </w:rPr>
              <w:t>10.20*</w:t>
            </w:r>
          </w:p>
        </w:tc>
        <w:tc>
          <w:tcPr>
            <w:tcW w:w="9880" w:type="dxa"/>
            <w:vAlign w:val="bottom"/>
            <w:tcBorders>
              <w:bottom w:val="single" w:sz="8" w:color="0000FF"/>
            </w:tcBorders>
            <w:gridSpan w:val="16"/>
          </w:tcPr>
          <w:p>
            <w:pPr>
              <w:spacing w:after="0"/>
              <w:rPr>
                <w:rFonts w:ascii="Arial" w:cs="Arial" w:eastAsia="Arial" w:hAnsi="Arial"/>
                <w:sz w:val="14"/>
                <w:szCs w:val="14"/>
                <w:color w:val="0000FF"/>
                <w:w w:val="96"/>
              </w:rPr>
            </w:pPr>
            <w:hyperlink r:id="rId36">
              <w:r>
                <w:rPr>
                  <w:rFonts w:ascii="Arial" w:cs="Arial" w:eastAsia="Arial" w:hAnsi="Arial"/>
                  <w:sz w:val="14"/>
                  <w:szCs w:val="14"/>
                  <w:color w:val="0000FF"/>
                  <w:w w:val="96"/>
                </w:rPr>
                <w:t>Warrant Purchase Agreement, dated October 7, 2016, between The Howard Hughes Corporation and David O’Reilly (incorporated by reference to Exhibit 10.3 to the</w:t>
              </w:r>
            </w:hyperlink>
          </w:p>
        </w:tc>
      </w:tr>
      <w:tr>
        <w:trPr>
          <w:trHeight w:val="152"/>
        </w:trPr>
        <w:tc>
          <w:tcPr>
            <w:tcW w:w="1480" w:type="dxa"/>
            <w:vAlign w:val="bottom"/>
          </w:tcPr>
          <w:p>
            <w:pPr>
              <w:spacing w:after="0"/>
              <w:rPr>
                <w:sz w:val="13"/>
                <w:szCs w:val="13"/>
                <w:color w:val="auto"/>
              </w:rPr>
            </w:pPr>
          </w:p>
        </w:tc>
        <w:tc>
          <w:tcPr>
            <w:tcW w:w="3760" w:type="dxa"/>
            <w:vAlign w:val="bottom"/>
            <w:tcBorders>
              <w:bottom w:val="single" w:sz="8" w:color="0000FF"/>
            </w:tcBorders>
            <w:gridSpan w:val="9"/>
          </w:tcPr>
          <w:p>
            <w:pPr>
              <w:spacing w:after="0" w:line="153" w:lineRule="exact"/>
              <w:rPr>
                <w:rFonts w:ascii="Arial" w:cs="Arial" w:eastAsia="Arial" w:hAnsi="Arial"/>
                <w:sz w:val="14"/>
                <w:szCs w:val="14"/>
                <w:color w:val="0000FF"/>
                <w:w w:val="93"/>
              </w:rPr>
            </w:pPr>
            <w:hyperlink r:id="rId36">
              <w:r>
                <w:rPr>
                  <w:rFonts w:ascii="Arial" w:cs="Arial" w:eastAsia="Arial" w:hAnsi="Arial"/>
                  <w:sz w:val="14"/>
                  <w:szCs w:val="14"/>
                  <w:color w:val="0000FF"/>
                  <w:w w:val="93"/>
                </w:rPr>
                <w:t>Company’s Current Report on Form 8-K, filed October 11, 2016)</w:t>
              </w:r>
            </w:hyperlink>
          </w:p>
        </w:tc>
        <w:tc>
          <w:tcPr>
            <w:tcW w:w="6120" w:type="dxa"/>
            <w:vAlign w:val="bottom"/>
            <w:gridSpan w:val="7"/>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10.21*</w:t>
            </w:r>
          </w:p>
        </w:tc>
        <w:tc>
          <w:tcPr>
            <w:tcW w:w="9880" w:type="dxa"/>
            <w:vAlign w:val="bottom"/>
            <w:tcBorders>
              <w:bottom w:val="single" w:sz="8" w:color="0000FF"/>
            </w:tcBorders>
            <w:gridSpan w:val="16"/>
          </w:tcPr>
          <w:p>
            <w:pPr>
              <w:spacing w:after="0"/>
              <w:rPr>
                <w:rFonts w:ascii="Arial" w:cs="Arial" w:eastAsia="Arial" w:hAnsi="Arial"/>
                <w:sz w:val="14"/>
                <w:szCs w:val="14"/>
                <w:color w:val="0000FF"/>
                <w:w w:val="96"/>
              </w:rPr>
            </w:pPr>
            <w:hyperlink r:id="rId37">
              <w:r>
                <w:rPr>
                  <w:rFonts w:ascii="Arial" w:cs="Arial" w:eastAsia="Arial" w:hAnsi="Arial"/>
                  <w:sz w:val="14"/>
                  <w:szCs w:val="14"/>
                  <w:color w:val="0000FF"/>
                  <w:w w:val="96"/>
                </w:rPr>
                <w:t>Saul Scherl offer letter, dated as of February 21, 2019 (incorporated by reference to Exhibit 10.21 to the Company’s Current Report on Form 10-K, filed February 27,</w:t>
              </w:r>
            </w:hyperlink>
          </w:p>
        </w:tc>
      </w:tr>
      <w:tr>
        <w:trPr>
          <w:trHeight w:val="152"/>
        </w:trPr>
        <w:tc>
          <w:tcPr>
            <w:tcW w:w="1480" w:type="dxa"/>
            <w:vAlign w:val="bottom"/>
          </w:tcPr>
          <w:p>
            <w:pPr>
              <w:spacing w:after="0"/>
              <w:rPr>
                <w:sz w:val="13"/>
                <w:szCs w:val="13"/>
                <w:color w:val="auto"/>
              </w:rPr>
            </w:pPr>
          </w:p>
        </w:tc>
        <w:tc>
          <w:tcPr>
            <w:tcW w:w="340" w:type="dxa"/>
            <w:vAlign w:val="bottom"/>
            <w:tcBorders>
              <w:bottom w:val="single" w:sz="8" w:color="0000FF"/>
            </w:tcBorders>
          </w:tcPr>
          <w:p>
            <w:pPr>
              <w:spacing w:after="0" w:line="153" w:lineRule="exact"/>
              <w:rPr>
                <w:rFonts w:ascii="Arial" w:cs="Arial" w:eastAsia="Arial" w:hAnsi="Arial"/>
                <w:sz w:val="14"/>
                <w:szCs w:val="14"/>
                <w:color w:val="0000FF"/>
                <w:w w:val="89"/>
              </w:rPr>
            </w:pPr>
            <w:hyperlink r:id="rId37">
              <w:r>
                <w:rPr>
                  <w:rFonts w:ascii="Arial" w:cs="Arial" w:eastAsia="Arial" w:hAnsi="Arial"/>
                  <w:sz w:val="14"/>
                  <w:szCs w:val="14"/>
                  <w:color w:val="0000FF"/>
                  <w:w w:val="89"/>
                </w:rPr>
                <w:t>2019)</w:t>
              </w:r>
            </w:hyperlink>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22"/>
        </w:trPr>
        <w:tc>
          <w:tcPr>
            <w:tcW w:w="1480" w:type="dxa"/>
            <w:vAlign w:val="bottom"/>
          </w:tcPr>
          <w:p>
            <w:pPr>
              <w:spacing w:after="0"/>
              <w:rPr>
                <w:sz w:val="20"/>
                <w:szCs w:val="20"/>
                <w:color w:val="auto"/>
              </w:rPr>
            </w:pPr>
            <w:r>
              <w:rPr>
                <w:rFonts w:ascii="Arial" w:cs="Arial" w:eastAsia="Arial" w:hAnsi="Arial"/>
                <w:sz w:val="14"/>
                <w:szCs w:val="14"/>
                <w:color w:val="auto"/>
              </w:rPr>
              <w:t>10.22</w:t>
            </w:r>
          </w:p>
        </w:tc>
        <w:tc>
          <w:tcPr>
            <w:tcW w:w="9880" w:type="dxa"/>
            <w:vAlign w:val="bottom"/>
            <w:tcBorders>
              <w:bottom w:val="single" w:sz="8" w:color="0000FF"/>
            </w:tcBorders>
            <w:gridSpan w:val="16"/>
          </w:tcPr>
          <w:p>
            <w:pPr>
              <w:spacing w:after="0"/>
              <w:rPr>
                <w:rFonts w:ascii="Arial" w:cs="Arial" w:eastAsia="Arial" w:hAnsi="Arial"/>
                <w:sz w:val="14"/>
                <w:szCs w:val="14"/>
                <w:color w:val="0000FF"/>
                <w:w w:val="96"/>
              </w:rPr>
            </w:pPr>
            <w:hyperlink r:id="rId38">
              <w:r>
                <w:rPr>
                  <w:rFonts w:ascii="Arial" w:cs="Arial" w:eastAsia="Arial" w:hAnsi="Arial"/>
                  <w:sz w:val="14"/>
                  <w:szCs w:val="14"/>
                  <w:color w:val="0000FF"/>
                  <w:w w:val="96"/>
                </w:rPr>
                <w:t>Loan Agreement dated as of September 29, 2011, by and among Victoria Ward, Limited along with certain Victoria Ward, Limited’s subsidiaries, as borrowers, Wells</w:t>
              </w:r>
            </w:hyperlink>
          </w:p>
        </w:tc>
      </w:tr>
      <w:tr>
        <w:trPr>
          <w:trHeight w:val="152"/>
        </w:trPr>
        <w:tc>
          <w:tcPr>
            <w:tcW w:w="1480" w:type="dxa"/>
            <w:vAlign w:val="bottom"/>
          </w:tcPr>
          <w:p>
            <w:pPr>
              <w:spacing w:after="0"/>
              <w:rPr>
                <w:sz w:val="13"/>
                <w:szCs w:val="13"/>
                <w:color w:val="auto"/>
              </w:rPr>
            </w:pPr>
          </w:p>
        </w:tc>
        <w:tc>
          <w:tcPr>
            <w:tcW w:w="9880" w:type="dxa"/>
            <w:vAlign w:val="bottom"/>
            <w:tcBorders>
              <w:bottom w:val="single" w:sz="8" w:color="0000FF"/>
            </w:tcBorders>
            <w:gridSpan w:val="16"/>
          </w:tcPr>
          <w:p>
            <w:pPr>
              <w:spacing w:after="0" w:line="153" w:lineRule="exact"/>
              <w:rPr>
                <w:rFonts w:ascii="Arial" w:cs="Arial" w:eastAsia="Arial" w:hAnsi="Arial"/>
                <w:sz w:val="14"/>
                <w:szCs w:val="14"/>
                <w:color w:val="0000FF"/>
                <w:w w:val="95"/>
              </w:rPr>
            </w:pPr>
            <w:hyperlink r:id="rId38">
              <w:r>
                <w:rPr>
                  <w:rFonts w:ascii="Arial" w:cs="Arial" w:eastAsia="Arial" w:hAnsi="Arial"/>
                  <w:sz w:val="14"/>
                  <w:szCs w:val="14"/>
                  <w:color w:val="0000FF"/>
                  <w:w w:val="95"/>
                </w:rPr>
                <w:t>Fargo Bank, National Association, as Administrative Agent and lead lender, CIBC, First Hawaiian Bank, Bank of Hawaii and Central Pacific Bank, as lenders, and Wells</w:t>
              </w:r>
            </w:hyperlink>
          </w:p>
        </w:tc>
      </w:tr>
      <w:tr>
        <w:trPr>
          <w:trHeight w:val="152"/>
        </w:trPr>
        <w:tc>
          <w:tcPr>
            <w:tcW w:w="1480" w:type="dxa"/>
            <w:vAlign w:val="bottom"/>
          </w:tcPr>
          <w:p>
            <w:pPr>
              <w:spacing w:after="0"/>
              <w:rPr>
                <w:sz w:val="13"/>
                <w:szCs w:val="13"/>
                <w:color w:val="auto"/>
              </w:rPr>
            </w:pPr>
          </w:p>
        </w:tc>
        <w:tc>
          <w:tcPr>
            <w:tcW w:w="9880" w:type="dxa"/>
            <w:vAlign w:val="bottom"/>
            <w:tcBorders>
              <w:bottom w:val="single" w:sz="8" w:color="0000FF"/>
            </w:tcBorders>
            <w:gridSpan w:val="16"/>
          </w:tcPr>
          <w:p>
            <w:pPr>
              <w:spacing w:after="0" w:line="153" w:lineRule="exact"/>
              <w:rPr>
                <w:rFonts w:ascii="Arial" w:cs="Arial" w:eastAsia="Arial" w:hAnsi="Arial"/>
                <w:sz w:val="14"/>
                <w:szCs w:val="14"/>
                <w:color w:val="0000FF"/>
                <w:w w:val="97"/>
              </w:rPr>
            </w:pPr>
            <w:hyperlink r:id="rId38">
              <w:r>
                <w:rPr>
                  <w:rFonts w:ascii="Arial" w:cs="Arial" w:eastAsia="Arial" w:hAnsi="Arial"/>
                  <w:sz w:val="14"/>
                  <w:szCs w:val="14"/>
                  <w:color w:val="0000FF"/>
                  <w:w w:val="97"/>
                </w:rPr>
                <w:t>Fargo Securities, L.L.C., as Sole Lead Arranger and Sole Bookrunner (incorporated by reference to Exhibit 10.1 to the Company’s Current Report on Form 8-K, filed</w:t>
              </w:r>
            </w:hyperlink>
          </w:p>
        </w:tc>
      </w:tr>
      <w:tr>
        <w:trPr>
          <w:trHeight w:val="152"/>
        </w:trPr>
        <w:tc>
          <w:tcPr>
            <w:tcW w:w="1480" w:type="dxa"/>
            <w:vAlign w:val="bottom"/>
          </w:tcPr>
          <w:p>
            <w:pPr>
              <w:spacing w:after="0"/>
              <w:rPr>
                <w:sz w:val="13"/>
                <w:szCs w:val="13"/>
                <w:color w:val="auto"/>
              </w:rPr>
            </w:pPr>
          </w:p>
        </w:tc>
        <w:tc>
          <w:tcPr>
            <w:tcW w:w="980" w:type="dxa"/>
            <w:vAlign w:val="bottom"/>
            <w:tcBorders>
              <w:bottom w:val="single" w:sz="8" w:color="0000FF"/>
            </w:tcBorders>
            <w:gridSpan w:val="3"/>
          </w:tcPr>
          <w:p>
            <w:pPr>
              <w:spacing w:after="0" w:line="153" w:lineRule="exact"/>
              <w:rPr>
                <w:rFonts w:ascii="Arial" w:cs="Arial" w:eastAsia="Arial" w:hAnsi="Arial"/>
                <w:sz w:val="14"/>
                <w:szCs w:val="14"/>
                <w:color w:val="0000FF"/>
                <w:w w:val="91"/>
              </w:rPr>
            </w:pPr>
            <w:hyperlink r:id="rId38">
              <w:r>
                <w:rPr>
                  <w:rFonts w:ascii="Arial" w:cs="Arial" w:eastAsia="Arial" w:hAnsi="Arial"/>
                  <w:sz w:val="14"/>
                  <w:szCs w:val="14"/>
                  <w:color w:val="0000FF"/>
                  <w:w w:val="91"/>
                </w:rPr>
                <w:t>October 4, 2011)</w:t>
              </w:r>
            </w:hyperlink>
          </w:p>
        </w:tc>
        <w:tc>
          <w:tcPr>
            <w:tcW w:w="8900" w:type="dxa"/>
            <w:vAlign w:val="bottom"/>
            <w:gridSpan w:val="13"/>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10.23</w:t>
            </w:r>
          </w:p>
        </w:tc>
        <w:tc>
          <w:tcPr>
            <w:tcW w:w="9880" w:type="dxa"/>
            <w:vAlign w:val="bottom"/>
            <w:tcBorders>
              <w:bottom w:val="single" w:sz="8" w:color="0000FF"/>
            </w:tcBorders>
            <w:gridSpan w:val="16"/>
          </w:tcPr>
          <w:p>
            <w:pPr>
              <w:spacing w:after="0"/>
              <w:rPr>
                <w:rFonts w:ascii="Arial" w:cs="Arial" w:eastAsia="Arial" w:hAnsi="Arial"/>
                <w:sz w:val="14"/>
                <w:szCs w:val="14"/>
                <w:color w:val="0000FF"/>
              </w:rPr>
            </w:pPr>
            <w:hyperlink r:id="rId39">
              <w:r>
                <w:rPr>
                  <w:rFonts w:ascii="Arial" w:cs="Arial" w:eastAsia="Arial" w:hAnsi="Arial"/>
                  <w:sz w:val="14"/>
                  <w:szCs w:val="14"/>
                  <w:color w:val="0000FF"/>
                </w:rPr>
                <w:t>Loan Agreement dated as of July 15, 2014, by and among The Shops at Summerlin North, LP, The Shops at Summerlin South, LP, Wells Fargo Bank, National</w:t>
              </w:r>
            </w:hyperlink>
          </w:p>
        </w:tc>
      </w:tr>
      <w:tr>
        <w:trPr>
          <w:trHeight w:val="152"/>
        </w:trPr>
        <w:tc>
          <w:tcPr>
            <w:tcW w:w="1480" w:type="dxa"/>
            <w:vAlign w:val="bottom"/>
          </w:tcPr>
          <w:p>
            <w:pPr>
              <w:spacing w:after="0"/>
              <w:rPr>
                <w:sz w:val="13"/>
                <w:szCs w:val="13"/>
                <w:color w:val="auto"/>
              </w:rPr>
            </w:pPr>
          </w:p>
        </w:tc>
        <w:tc>
          <w:tcPr>
            <w:tcW w:w="9880" w:type="dxa"/>
            <w:vAlign w:val="bottom"/>
            <w:tcBorders>
              <w:bottom w:val="single" w:sz="8" w:color="0000FF"/>
            </w:tcBorders>
            <w:gridSpan w:val="16"/>
          </w:tcPr>
          <w:p>
            <w:pPr>
              <w:spacing w:after="0" w:line="153" w:lineRule="exact"/>
              <w:rPr>
                <w:rFonts w:ascii="Arial" w:cs="Arial" w:eastAsia="Arial" w:hAnsi="Arial"/>
                <w:sz w:val="14"/>
                <w:szCs w:val="14"/>
                <w:color w:val="0000FF"/>
                <w:w w:val="94"/>
              </w:rPr>
            </w:pPr>
            <w:hyperlink r:id="rId39">
              <w:r>
                <w:rPr>
                  <w:rFonts w:ascii="Arial" w:cs="Arial" w:eastAsia="Arial" w:hAnsi="Arial"/>
                  <w:sz w:val="14"/>
                  <w:szCs w:val="14"/>
                  <w:color w:val="0000FF"/>
                  <w:w w:val="94"/>
                </w:rPr>
                <w:t>Association, as Administrative Agent and lead lender, U.S. Bank National Association, as Syndication Agent and a lender, the other lending institutions party thereto, and</w:t>
              </w:r>
            </w:hyperlink>
          </w:p>
        </w:tc>
      </w:tr>
      <w:tr>
        <w:trPr>
          <w:trHeight w:val="152"/>
        </w:trPr>
        <w:tc>
          <w:tcPr>
            <w:tcW w:w="1480" w:type="dxa"/>
            <w:vAlign w:val="bottom"/>
          </w:tcPr>
          <w:p>
            <w:pPr>
              <w:spacing w:after="0"/>
              <w:rPr>
                <w:sz w:val="13"/>
                <w:szCs w:val="13"/>
                <w:color w:val="auto"/>
              </w:rPr>
            </w:pPr>
          </w:p>
        </w:tc>
        <w:tc>
          <w:tcPr>
            <w:tcW w:w="9880" w:type="dxa"/>
            <w:vAlign w:val="bottom"/>
            <w:tcBorders>
              <w:bottom w:val="single" w:sz="8" w:color="0000FF"/>
            </w:tcBorders>
            <w:gridSpan w:val="16"/>
          </w:tcPr>
          <w:p>
            <w:pPr>
              <w:spacing w:after="0" w:line="153" w:lineRule="exact"/>
              <w:rPr>
                <w:rFonts w:ascii="Arial" w:cs="Arial" w:eastAsia="Arial" w:hAnsi="Arial"/>
                <w:sz w:val="14"/>
                <w:szCs w:val="14"/>
                <w:color w:val="0000FF"/>
                <w:w w:val="93"/>
              </w:rPr>
            </w:pPr>
            <w:hyperlink r:id="rId39">
              <w:r>
                <w:rPr>
                  <w:rFonts w:ascii="Arial" w:cs="Arial" w:eastAsia="Arial" w:hAnsi="Arial"/>
                  <w:sz w:val="14"/>
                  <w:szCs w:val="14"/>
                  <w:color w:val="0000FF"/>
                  <w:w w:val="93"/>
                </w:rPr>
                <w:t>Wells Fargo Securities, L.L.C., as sole Lead Arranger and Sole Bookrunner (incorporated by reference to Exhibit 10.1 to the Company’s Current Report on Form 8-K, filed</w:t>
              </w:r>
            </w:hyperlink>
          </w:p>
        </w:tc>
      </w:tr>
      <w:tr>
        <w:trPr>
          <w:trHeight w:val="152"/>
        </w:trPr>
        <w:tc>
          <w:tcPr>
            <w:tcW w:w="1480" w:type="dxa"/>
            <w:vAlign w:val="bottom"/>
          </w:tcPr>
          <w:p>
            <w:pPr>
              <w:spacing w:after="0"/>
              <w:rPr>
                <w:sz w:val="13"/>
                <w:szCs w:val="13"/>
                <w:color w:val="auto"/>
              </w:rPr>
            </w:pPr>
          </w:p>
        </w:tc>
        <w:tc>
          <w:tcPr>
            <w:tcW w:w="9880" w:type="dxa"/>
            <w:vAlign w:val="bottom"/>
            <w:gridSpan w:val="16"/>
          </w:tcPr>
          <w:p>
            <w:pPr>
              <w:spacing w:after="0" w:line="153" w:lineRule="exact"/>
              <w:rPr>
                <w:rFonts w:ascii="Arial" w:cs="Arial" w:eastAsia="Arial" w:hAnsi="Arial"/>
                <w:sz w:val="14"/>
                <w:szCs w:val="14"/>
                <w:color w:val="0000FF"/>
              </w:rPr>
            </w:pPr>
            <w:hyperlink r:id="rId39">
              <w:r>
                <w:rPr>
                  <w:rFonts w:ascii="Arial" w:cs="Arial" w:eastAsia="Arial" w:hAnsi="Arial"/>
                  <w:sz w:val="14"/>
                  <w:szCs w:val="14"/>
                  <w:color w:val="0000FF"/>
                </w:rPr>
                <w:t>July 16, 2014)</w:t>
              </w:r>
            </w:hyperlink>
          </w:p>
        </w:tc>
      </w:tr>
      <w:tr>
        <w:trPr>
          <w:trHeight w:val="20"/>
        </w:trPr>
        <w:tc>
          <w:tcPr>
            <w:tcW w:w="14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10.24</w:t>
            </w:r>
          </w:p>
        </w:tc>
        <w:tc>
          <w:tcPr>
            <w:tcW w:w="9880" w:type="dxa"/>
            <w:vAlign w:val="bottom"/>
            <w:tcBorders>
              <w:bottom w:val="single" w:sz="8" w:color="0000FF"/>
            </w:tcBorders>
            <w:gridSpan w:val="16"/>
          </w:tcPr>
          <w:p>
            <w:pPr>
              <w:spacing w:after="0"/>
              <w:rPr>
                <w:rFonts w:ascii="Arial" w:cs="Arial" w:eastAsia="Arial" w:hAnsi="Arial"/>
                <w:sz w:val="14"/>
                <w:szCs w:val="14"/>
                <w:color w:val="0000FF"/>
                <w:w w:val="95"/>
              </w:rPr>
            </w:pPr>
            <w:hyperlink r:id="rId40">
              <w:r>
                <w:rPr>
                  <w:rFonts w:ascii="Arial" w:cs="Arial" w:eastAsia="Arial" w:hAnsi="Arial"/>
                  <w:sz w:val="14"/>
                  <w:szCs w:val="14"/>
                  <w:color w:val="0000FF"/>
                  <w:w w:val="95"/>
                </w:rPr>
                <w:t>Loan Agreement dated as of September 18, 2018, by and among Victoria Ward, Limited; Victoria Ward Center L.L.C.; Victoria Ward Entertainment Center L.L.C.; 1240</w:t>
              </w:r>
            </w:hyperlink>
          </w:p>
        </w:tc>
      </w:tr>
      <w:tr>
        <w:trPr>
          <w:trHeight w:val="152"/>
        </w:trPr>
        <w:tc>
          <w:tcPr>
            <w:tcW w:w="1480" w:type="dxa"/>
            <w:vAlign w:val="bottom"/>
          </w:tcPr>
          <w:p>
            <w:pPr>
              <w:spacing w:after="0"/>
              <w:rPr>
                <w:sz w:val="13"/>
                <w:szCs w:val="13"/>
                <w:color w:val="auto"/>
              </w:rPr>
            </w:pPr>
          </w:p>
        </w:tc>
        <w:tc>
          <w:tcPr>
            <w:tcW w:w="9880" w:type="dxa"/>
            <w:vAlign w:val="bottom"/>
            <w:tcBorders>
              <w:bottom w:val="single" w:sz="8" w:color="0000FF"/>
            </w:tcBorders>
            <w:gridSpan w:val="16"/>
          </w:tcPr>
          <w:p>
            <w:pPr>
              <w:spacing w:after="0" w:line="153" w:lineRule="exact"/>
              <w:rPr>
                <w:rFonts w:ascii="Arial" w:cs="Arial" w:eastAsia="Arial" w:hAnsi="Arial"/>
                <w:sz w:val="14"/>
                <w:szCs w:val="14"/>
                <w:color w:val="0000FF"/>
                <w:w w:val="97"/>
              </w:rPr>
            </w:pPr>
            <w:hyperlink r:id="rId40">
              <w:r>
                <w:rPr>
                  <w:rFonts w:ascii="Arial" w:cs="Arial" w:eastAsia="Arial" w:hAnsi="Arial"/>
                  <w:sz w:val="14"/>
                  <w:szCs w:val="14"/>
                  <w:color w:val="0000FF"/>
                  <w:w w:val="97"/>
                </w:rPr>
                <w:t>Ala Moana, LLC; Anaha Retail Holdings, LLC; Waiea Retail Holdings, LLC; 10 CCC, LLC; 20 CCC, LLC; 30 CCC, LLC; 10/20/30 CCC Parking Deck, LLC; 40 CCC,</w:t>
              </w:r>
            </w:hyperlink>
          </w:p>
        </w:tc>
      </w:tr>
      <w:tr>
        <w:trPr>
          <w:trHeight w:val="152"/>
        </w:trPr>
        <w:tc>
          <w:tcPr>
            <w:tcW w:w="1480" w:type="dxa"/>
            <w:vAlign w:val="bottom"/>
          </w:tcPr>
          <w:p>
            <w:pPr>
              <w:spacing w:after="0"/>
              <w:rPr>
                <w:sz w:val="13"/>
                <w:szCs w:val="13"/>
                <w:color w:val="auto"/>
              </w:rPr>
            </w:pPr>
          </w:p>
        </w:tc>
        <w:tc>
          <w:tcPr>
            <w:tcW w:w="9880" w:type="dxa"/>
            <w:vAlign w:val="bottom"/>
            <w:tcBorders>
              <w:bottom w:val="single" w:sz="8" w:color="0000FF"/>
            </w:tcBorders>
            <w:gridSpan w:val="16"/>
          </w:tcPr>
          <w:p>
            <w:pPr>
              <w:spacing w:after="0" w:line="153" w:lineRule="exact"/>
              <w:rPr>
                <w:rFonts w:ascii="Arial" w:cs="Arial" w:eastAsia="Arial" w:hAnsi="Arial"/>
                <w:sz w:val="14"/>
                <w:szCs w:val="14"/>
                <w:color w:val="0000FF"/>
                <w:w w:val="99"/>
              </w:rPr>
            </w:pPr>
            <w:hyperlink r:id="rId40">
              <w:r>
                <w:rPr>
                  <w:rFonts w:ascii="Arial" w:cs="Arial" w:eastAsia="Arial" w:hAnsi="Arial"/>
                  <w:sz w:val="14"/>
                  <w:szCs w:val="14"/>
                  <w:color w:val="0000FF"/>
                  <w:w w:val="99"/>
                </w:rPr>
                <w:t>LLC; 40 CCC Parking Deck, LLC; 50 CCC, LLC; 60 CCC, LLC; 70 CC, LLC; 50/60/70 CCC Parking Deck, LLC; One Mall North, LLC; Crescent Area 1 Holdings,</w:t>
              </w:r>
            </w:hyperlink>
          </w:p>
        </w:tc>
      </w:tr>
      <w:tr>
        <w:trPr>
          <w:trHeight w:val="152"/>
        </w:trPr>
        <w:tc>
          <w:tcPr>
            <w:tcW w:w="1480" w:type="dxa"/>
            <w:vAlign w:val="bottom"/>
          </w:tcPr>
          <w:p>
            <w:pPr>
              <w:spacing w:after="0"/>
              <w:rPr>
                <w:sz w:val="13"/>
                <w:szCs w:val="13"/>
                <w:color w:val="auto"/>
              </w:rPr>
            </w:pPr>
          </w:p>
        </w:tc>
        <w:tc>
          <w:tcPr>
            <w:tcW w:w="9880" w:type="dxa"/>
            <w:vAlign w:val="bottom"/>
            <w:tcBorders>
              <w:bottom w:val="single" w:sz="8" w:color="0000FF"/>
            </w:tcBorders>
            <w:gridSpan w:val="16"/>
          </w:tcPr>
          <w:p>
            <w:pPr>
              <w:spacing w:after="0" w:line="153" w:lineRule="exact"/>
              <w:rPr>
                <w:rFonts w:ascii="Arial" w:cs="Arial" w:eastAsia="Arial" w:hAnsi="Arial"/>
                <w:sz w:val="14"/>
                <w:szCs w:val="14"/>
                <w:color w:val="0000FF"/>
                <w:w w:val="98"/>
              </w:rPr>
            </w:pPr>
            <w:hyperlink r:id="rId40">
              <w:r>
                <w:rPr>
                  <w:rFonts w:ascii="Arial" w:cs="Arial" w:eastAsia="Arial" w:hAnsi="Arial"/>
                  <w:sz w:val="14"/>
                  <w:szCs w:val="14"/>
                  <w:color w:val="0000FF"/>
                  <w:w w:val="98"/>
                </w:rPr>
                <w:t>LLC; Crescent Area 1 Parking Deck 1, LLC; HL Champion Holding Company, LLC; Lakeland Village Holding Company, LLC; Waterway Hotel Holdings, LLC; HL-</w:t>
              </w:r>
            </w:hyperlink>
          </w:p>
        </w:tc>
      </w:tr>
      <w:tr>
        <w:trPr>
          <w:trHeight w:val="152"/>
        </w:trPr>
        <w:tc>
          <w:tcPr>
            <w:tcW w:w="1480" w:type="dxa"/>
            <w:vAlign w:val="bottom"/>
          </w:tcPr>
          <w:p>
            <w:pPr>
              <w:spacing w:after="0"/>
              <w:rPr>
                <w:sz w:val="13"/>
                <w:szCs w:val="13"/>
                <w:color w:val="auto"/>
              </w:rPr>
            </w:pPr>
          </w:p>
        </w:tc>
        <w:tc>
          <w:tcPr>
            <w:tcW w:w="9880" w:type="dxa"/>
            <w:vAlign w:val="bottom"/>
            <w:gridSpan w:val="16"/>
          </w:tcPr>
          <w:p>
            <w:pPr>
              <w:spacing w:after="0" w:line="153" w:lineRule="exact"/>
              <w:rPr>
                <w:rFonts w:ascii="Arial" w:cs="Arial" w:eastAsia="Arial" w:hAnsi="Arial"/>
                <w:sz w:val="14"/>
                <w:szCs w:val="14"/>
                <w:color w:val="0000FF"/>
                <w:w w:val="97"/>
              </w:rPr>
            </w:pPr>
            <w:hyperlink r:id="rId40">
              <w:r>
                <w:rPr>
                  <w:rFonts w:ascii="Arial" w:cs="Arial" w:eastAsia="Arial" w:hAnsi="Arial"/>
                  <w:sz w:val="14"/>
                  <w:szCs w:val="14"/>
                  <w:color w:val="0000FF"/>
                  <w:w w:val="97"/>
                </w:rPr>
                <w:t>Hotel Holding Company, LLC; CSPV Holdings, LLC; 1701 Lake Robbins, LLC; Wells Fargo Bank, National Association, as administrative agent and a lender; Wells</w:t>
              </w:r>
            </w:hyperlink>
          </w:p>
        </w:tc>
      </w:tr>
      <w:tr>
        <w:trPr>
          <w:trHeight w:val="20"/>
        </w:trPr>
        <w:tc>
          <w:tcPr>
            <w:tcW w:w="148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480" w:type="dxa"/>
            <w:vAlign w:val="bottom"/>
          </w:tcPr>
          <w:p>
            <w:pPr>
              <w:spacing w:after="0"/>
              <w:rPr>
                <w:sz w:val="13"/>
                <w:szCs w:val="13"/>
                <w:color w:val="auto"/>
              </w:rPr>
            </w:pPr>
          </w:p>
        </w:tc>
        <w:tc>
          <w:tcPr>
            <w:tcW w:w="9880" w:type="dxa"/>
            <w:vAlign w:val="bottom"/>
            <w:tcBorders>
              <w:bottom w:val="single" w:sz="8" w:color="0000FF"/>
            </w:tcBorders>
            <w:gridSpan w:val="16"/>
          </w:tcPr>
          <w:p>
            <w:pPr>
              <w:spacing w:after="0" w:line="153" w:lineRule="exact"/>
              <w:rPr>
                <w:rFonts w:ascii="Arial" w:cs="Arial" w:eastAsia="Arial" w:hAnsi="Arial"/>
                <w:sz w:val="14"/>
                <w:szCs w:val="14"/>
                <w:color w:val="0000FF"/>
                <w:w w:val="96"/>
              </w:rPr>
            </w:pPr>
            <w:hyperlink r:id="rId40">
              <w:r>
                <w:rPr>
                  <w:rFonts w:ascii="Arial" w:cs="Arial" w:eastAsia="Arial" w:hAnsi="Arial"/>
                  <w:sz w:val="14"/>
                  <w:szCs w:val="14"/>
                  <w:color w:val="0000FF"/>
                  <w:w w:val="96"/>
                </w:rPr>
                <w:t>Fargo Securities, L.L.C., as sole lead arranger and sole book-runner; and the other lenders party thereto (incorporated by reference to Exhibit 10.1 to the Company’s</w:t>
              </w:r>
            </w:hyperlink>
          </w:p>
        </w:tc>
      </w:tr>
      <w:tr>
        <w:trPr>
          <w:trHeight w:val="152"/>
        </w:trPr>
        <w:tc>
          <w:tcPr>
            <w:tcW w:w="1480" w:type="dxa"/>
            <w:vAlign w:val="bottom"/>
          </w:tcPr>
          <w:p>
            <w:pPr>
              <w:spacing w:after="0"/>
              <w:rPr>
                <w:sz w:val="13"/>
                <w:szCs w:val="13"/>
                <w:color w:val="auto"/>
              </w:rPr>
            </w:pPr>
          </w:p>
        </w:tc>
        <w:tc>
          <w:tcPr>
            <w:tcW w:w="9880" w:type="dxa"/>
            <w:vAlign w:val="bottom"/>
            <w:gridSpan w:val="16"/>
          </w:tcPr>
          <w:p>
            <w:pPr>
              <w:spacing w:after="0" w:line="153" w:lineRule="exact"/>
              <w:rPr>
                <w:rFonts w:ascii="Arial" w:cs="Arial" w:eastAsia="Arial" w:hAnsi="Arial"/>
                <w:sz w:val="14"/>
                <w:szCs w:val="14"/>
                <w:color w:val="0000FF"/>
              </w:rPr>
            </w:pPr>
            <w:hyperlink r:id="rId40">
              <w:r>
                <w:rPr>
                  <w:rFonts w:ascii="Arial" w:cs="Arial" w:eastAsia="Arial" w:hAnsi="Arial"/>
                  <w:sz w:val="14"/>
                  <w:szCs w:val="14"/>
                  <w:color w:val="0000FF"/>
                </w:rPr>
                <w:t>Current Report on Form 8-K, filed September 24, 2018)</w:t>
              </w:r>
            </w:hyperlink>
          </w:p>
        </w:tc>
      </w:tr>
      <w:tr>
        <w:trPr>
          <w:trHeight w:val="20"/>
        </w:trPr>
        <w:tc>
          <w:tcPr>
            <w:tcW w:w="148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10.25*</w:t>
            </w:r>
          </w:p>
        </w:tc>
        <w:tc>
          <w:tcPr>
            <w:tcW w:w="9880" w:type="dxa"/>
            <w:vAlign w:val="bottom"/>
            <w:tcBorders>
              <w:bottom w:val="single" w:sz="8" w:color="0000FF"/>
            </w:tcBorders>
            <w:gridSpan w:val="16"/>
          </w:tcPr>
          <w:p>
            <w:pPr>
              <w:spacing w:after="0"/>
              <w:rPr>
                <w:rFonts w:ascii="Arial" w:cs="Arial" w:eastAsia="Arial" w:hAnsi="Arial"/>
                <w:sz w:val="14"/>
                <w:szCs w:val="14"/>
                <w:color w:val="0000FF"/>
                <w:w w:val="94"/>
              </w:rPr>
            </w:pPr>
            <w:hyperlink r:id="rId41">
              <w:r>
                <w:rPr>
                  <w:rFonts w:ascii="Arial" w:cs="Arial" w:eastAsia="Arial" w:hAnsi="Arial"/>
                  <w:sz w:val="14"/>
                  <w:szCs w:val="14"/>
                  <w:color w:val="0000FF"/>
                  <w:w w:val="94"/>
                </w:rPr>
                <w:t>The Howard Hughes Corporation 2010 Amended and Restated Incentive Plan (incorporated by reference to Exhibit 10.1 to the Company’s Current Report on Form 8-K,</w:t>
              </w:r>
            </w:hyperlink>
          </w:p>
        </w:tc>
      </w:tr>
      <w:tr>
        <w:trPr>
          <w:trHeight w:val="152"/>
        </w:trPr>
        <w:tc>
          <w:tcPr>
            <w:tcW w:w="1480" w:type="dxa"/>
            <w:vAlign w:val="bottom"/>
          </w:tcPr>
          <w:p>
            <w:pPr>
              <w:spacing w:after="0"/>
              <w:rPr>
                <w:sz w:val="13"/>
                <w:szCs w:val="13"/>
                <w:color w:val="auto"/>
              </w:rPr>
            </w:pPr>
          </w:p>
        </w:tc>
        <w:tc>
          <w:tcPr>
            <w:tcW w:w="9880" w:type="dxa"/>
            <w:vAlign w:val="bottom"/>
            <w:gridSpan w:val="16"/>
          </w:tcPr>
          <w:p>
            <w:pPr>
              <w:spacing w:after="0" w:line="153" w:lineRule="exact"/>
              <w:rPr>
                <w:rFonts w:ascii="Arial" w:cs="Arial" w:eastAsia="Arial" w:hAnsi="Arial"/>
                <w:sz w:val="14"/>
                <w:szCs w:val="14"/>
                <w:color w:val="0000FF"/>
              </w:rPr>
            </w:pPr>
            <w:hyperlink r:id="rId41">
              <w:r>
                <w:rPr>
                  <w:rFonts w:ascii="Arial" w:cs="Arial" w:eastAsia="Arial" w:hAnsi="Arial"/>
                  <w:sz w:val="14"/>
                  <w:szCs w:val="14"/>
                  <w:color w:val="0000FF"/>
                </w:rPr>
                <w:t>filed June 14, 2012)</w:t>
              </w:r>
            </w:hyperlink>
          </w:p>
        </w:tc>
      </w:tr>
      <w:tr>
        <w:trPr>
          <w:trHeight w:val="20"/>
        </w:trPr>
        <w:tc>
          <w:tcPr>
            <w:tcW w:w="148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10.26*</w:t>
            </w:r>
          </w:p>
        </w:tc>
        <w:tc>
          <w:tcPr>
            <w:tcW w:w="9880" w:type="dxa"/>
            <w:vAlign w:val="bottom"/>
            <w:tcBorders>
              <w:bottom w:val="single" w:sz="8" w:color="0000FF"/>
            </w:tcBorders>
            <w:gridSpan w:val="16"/>
          </w:tcPr>
          <w:p>
            <w:pPr>
              <w:spacing w:after="0"/>
              <w:rPr>
                <w:rFonts w:ascii="Arial" w:cs="Arial" w:eastAsia="Arial" w:hAnsi="Arial"/>
                <w:sz w:val="14"/>
                <w:szCs w:val="14"/>
                <w:color w:val="0000FF"/>
                <w:w w:val="95"/>
              </w:rPr>
            </w:pPr>
            <w:hyperlink r:id="rId42">
              <w:r>
                <w:rPr>
                  <w:rFonts w:ascii="Arial" w:cs="Arial" w:eastAsia="Arial" w:hAnsi="Arial"/>
                  <w:sz w:val="14"/>
                  <w:szCs w:val="14"/>
                  <w:color w:val="0000FF"/>
                  <w:w w:val="95"/>
                </w:rPr>
                <w:t>Form of The Howard Hughes Corporation Deferred Compensation Plan (incorporated by reference to Exhibit 99.1 to the Company’s Current Report on Form 8-K, filed</w:t>
              </w:r>
            </w:hyperlink>
          </w:p>
        </w:tc>
      </w:tr>
      <w:tr>
        <w:trPr>
          <w:trHeight w:val="152"/>
        </w:trPr>
        <w:tc>
          <w:tcPr>
            <w:tcW w:w="1480" w:type="dxa"/>
            <w:vAlign w:val="bottom"/>
          </w:tcPr>
          <w:p>
            <w:pPr>
              <w:spacing w:after="0"/>
              <w:rPr>
                <w:sz w:val="13"/>
                <w:szCs w:val="13"/>
                <w:color w:val="auto"/>
              </w:rPr>
            </w:pPr>
          </w:p>
        </w:tc>
        <w:tc>
          <w:tcPr>
            <w:tcW w:w="1200" w:type="dxa"/>
            <w:vAlign w:val="bottom"/>
            <w:tcBorders>
              <w:bottom w:val="single" w:sz="8" w:color="0000FF"/>
            </w:tcBorders>
            <w:gridSpan w:val="5"/>
          </w:tcPr>
          <w:p>
            <w:pPr>
              <w:spacing w:after="0" w:line="153" w:lineRule="exact"/>
              <w:rPr>
                <w:rFonts w:ascii="Arial" w:cs="Arial" w:eastAsia="Arial" w:hAnsi="Arial"/>
                <w:sz w:val="14"/>
                <w:szCs w:val="14"/>
                <w:color w:val="0000FF"/>
                <w:w w:val="89"/>
              </w:rPr>
            </w:pPr>
            <w:hyperlink r:id="rId42">
              <w:r>
                <w:rPr>
                  <w:rFonts w:ascii="Arial" w:cs="Arial" w:eastAsia="Arial" w:hAnsi="Arial"/>
                  <w:sz w:val="14"/>
                  <w:szCs w:val="14"/>
                  <w:color w:val="0000FF"/>
                  <w:w w:val="89"/>
                </w:rPr>
                <w:t>September 17, 2014)</w:t>
              </w:r>
            </w:hyperlink>
          </w:p>
        </w:tc>
        <w:tc>
          <w:tcPr>
            <w:tcW w:w="8680" w:type="dxa"/>
            <w:vAlign w:val="bottom"/>
            <w:gridSpan w:val="11"/>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10.27*</w:t>
            </w:r>
          </w:p>
        </w:tc>
        <w:tc>
          <w:tcPr>
            <w:tcW w:w="9880" w:type="dxa"/>
            <w:vAlign w:val="bottom"/>
            <w:tcBorders>
              <w:bottom w:val="single" w:sz="8" w:color="0000FF"/>
            </w:tcBorders>
            <w:gridSpan w:val="16"/>
          </w:tcPr>
          <w:p>
            <w:pPr>
              <w:spacing w:after="0"/>
              <w:rPr>
                <w:rFonts w:ascii="Arial" w:cs="Arial" w:eastAsia="Arial" w:hAnsi="Arial"/>
                <w:sz w:val="14"/>
                <w:szCs w:val="14"/>
                <w:color w:val="0000FF"/>
                <w:w w:val="94"/>
              </w:rPr>
            </w:pPr>
            <w:hyperlink r:id="rId43">
              <w:r>
                <w:rPr>
                  <w:rFonts w:ascii="Arial" w:cs="Arial" w:eastAsia="Arial" w:hAnsi="Arial"/>
                  <w:sz w:val="14"/>
                  <w:szCs w:val="14"/>
                  <w:color w:val="0000FF"/>
                  <w:w w:val="94"/>
                </w:rPr>
                <w:t>The Howard Hughes Corporation Management Co., LLC Separation Benefit Plan (incorporated by reference to Exhibit 10.1 to the Company’s Current Report on Form 8-</w:t>
              </w:r>
            </w:hyperlink>
          </w:p>
        </w:tc>
      </w:tr>
      <w:tr>
        <w:trPr>
          <w:trHeight w:val="152"/>
        </w:trPr>
        <w:tc>
          <w:tcPr>
            <w:tcW w:w="1480" w:type="dxa"/>
            <w:vAlign w:val="bottom"/>
          </w:tcPr>
          <w:p>
            <w:pPr>
              <w:spacing w:after="0"/>
              <w:rPr>
                <w:sz w:val="13"/>
                <w:szCs w:val="13"/>
                <w:color w:val="auto"/>
              </w:rPr>
            </w:pPr>
          </w:p>
        </w:tc>
        <w:tc>
          <w:tcPr>
            <w:tcW w:w="1480" w:type="dxa"/>
            <w:vAlign w:val="bottom"/>
            <w:tcBorders>
              <w:bottom w:val="single" w:sz="8" w:color="0000FF"/>
            </w:tcBorders>
            <w:gridSpan w:val="6"/>
          </w:tcPr>
          <w:p>
            <w:pPr>
              <w:spacing w:after="0" w:line="153" w:lineRule="exact"/>
              <w:rPr>
                <w:rFonts w:ascii="Arial" w:cs="Arial" w:eastAsia="Arial" w:hAnsi="Arial"/>
                <w:sz w:val="14"/>
                <w:szCs w:val="14"/>
                <w:color w:val="0000FF"/>
                <w:w w:val="95"/>
              </w:rPr>
            </w:pPr>
            <w:hyperlink r:id="rId43">
              <w:r>
                <w:rPr>
                  <w:rFonts w:ascii="Arial" w:cs="Arial" w:eastAsia="Arial" w:hAnsi="Arial"/>
                  <w:sz w:val="14"/>
                  <w:szCs w:val="14"/>
                  <w:color w:val="0000FF"/>
                  <w:w w:val="95"/>
                </w:rPr>
                <w:t>K, filed August 16, 2017)</w:t>
              </w:r>
            </w:hyperlink>
          </w:p>
        </w:tc>
        <w:tc>
          <w:tcPr>
            <w:tcW w:w="8400" w:type="dxa"/>
            <w:vAlign w:val="bottom"/>
            <w:gridSpan w:val="10"/>
          </w:tcPr>
          <w:p>
            <w:pPr>
              <w:spacing w:after="0"/>
              <w:rPr>
                <w:sz w:val="13"/>
                <w:szCs w:val="13"/>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21.1</w:t>
            </w:r>
          </w:p>
        </w:tc>
        <w:tc>
          <w:tcPr>
            <w:tcW w:w="7860" w:type="dxa"/>
            <w:vAlign w:val="bottom"/>
            <w:tcBorders>
              <w:bottom w:val="single" w:sz="8" w:color="0000FF"/>
            </w:tcBorders>
            <w:gridSpan w:val="13"/>
          </w:tcPr>
          <w:p>
            <w:pPr>
              <w:spacing w:after="0"/>
              <w:rPr>
                <w:rFonts w:ascii="Arial" w:cs="Arial" w:eastAsia="Arial" w:hAnsi="Arial"/>
                <w:sz w:val="14"/>
                <w:szCs w:val="14"/>
                <w:color w:val="0000FF"/>
                <w:w w:val="94"/>
              </w:rPr>
            </w:pPr>
            <w:hyperlink r:id="rId44">
              <w:r>
                <w:rPr>
                  <w:rFonts w:ascii="Arial" w:cs="Arial" w:eastAsia="Arial" w:hAnsi="Arial"/>
                  <w:sz w:val="14"/>
                  <w:szCs w:val="14"/>
                  <w:color w:val="0000FF"/>
                  <w:w w:val="94"/>
                </w:rPr>
                <w:t>List of Subsidiaries (incorporated by reference to Exhibit 21.1 to the Company’s Current Report on Form 10-K, filed February 27, 2019)</w:t>
              </w:r>
            </w:hyperlink>
          </w:p>
        </w:tc>
        <w:tc>
          <w:tcPr>
            <w:tcW w:w="2020" w:type="dxa"/>
            <w:vAlign w:val="bottom"/>
            <w:gridSpan w:val="3"/>
          </w:tcPr>
          <w:p>
            <w:pPr>
              <w:spacing w:after="0"/>
              <w:rPr>
                <w:sz w:val="24"/>
                <w:szCs w:val="24"/>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23.1</w:t>
            </w:r>
          </w:p>
        </w:tc>
        <w:tc>
          <w:tcPr>
            <w:tcW w:w="8560" w:type="dxa"/>
            <w:vAlign w:val="bottom"/>
            <w:tcBorders>
              <w:bottom w:val="single" w:sz="8" w:color="0000FF"/>
            </w:tcBorders>
            <w:gridSpan w:val="14"/>
          </w:tcPr>
          <w:p>
            <w:pPr>
              <w:spacing w:after="0"/>
              <w:rPr>
                <w:rFonts w:ascii="Arial" w:cs="Arial" w:eastAsia="Arial" w:hAnsi="Arial"/>
                <w:sz w:val="14"/>
                <w:szCs w:val="14"/>
                <w:color w:val="0000FF"/>
                <w:w w:val="94"/>
              </w:rPr>
            </w:pPr>
            <w:hyperlink r:id="rId45">
              <w:r>
                <w:rPr>
                  <w:rFonts w:ascii="Arial" w:cs="Arial" w:eastAsia="Arial" w:hAnsi="Arial"/>
                  <w:sz w:val="14"/>
                  <w:szCs w:val="14"/>
                  <w:color w:val="0000FF"/>
                  <w:w w:val="94"/>
                </w:rPr>
                <w:t>Consent of Ernst &amp; Young LLP (incorporated by reference to Exhibit 23.1 to the Company’s Current Report on Form 10-K, filed February 27, 2019)</w:t>
              </w:r>
            </w:hyperlink>
          </w:p>
        </w:tc>
        <w:tc>
          <w:tcPr>
            <w:tcW w:w="1320" w:type="dxa"/>
            <w:vAlign w:val="bottom"/>
            <w:gridSpan w:val="2"/>
          </w:tcPr>
          <w:p>
            <w:pPr>
              <w:spacing w:after="0"/>
              <w:rPr>
                <w:sz w:val="24"/>
                <w:szCs w:val="24"/>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23.2+</w:t>
            </w:r>
          </w:p>
        </w:tc>
        <w:tc>
          <w:tcPr>
            <w:tcW w:w="1820" w:type="dxa"/>
            <w:vAlign w:val="bottom"/>
            <w:tcBorders>
              <w:bottom w:val="single" w:sz="8" w:color="0000FF"/>
            </w:tcBorders>
            <w:gridSpan w:val="7"/>
          </w:tcPr>
          <w:p>
            <w:pPr>
              <w:spacing w:after="0"/>
              <w:rPr>
                <w:rFonts w:ascii="Arial" w:cs="Arial" w:eastAsia="Arial" w:hAnsi="Arial"/>
                <w:sz w:val="14"/>
                <w:szCs w:val="14"/>
                <w:color w:val="0000FF"/>
                <w:w w:val="94"/>
              </w:rPr>
            </w:pPr>
            <w:hyperlink w:anchor="page9">
              <w:r>
                <w:rPr>
                  <w:rFonts w:ascii="Arial" w:cs="Arial" w:eastAsia="Arial" w:hAnsi="Arial"/>
                  <w:sz w:val="14"/>
                  <w:szCs w:val="14"/>
                  <w:color w:val="0000FF"/>
                  <w:w w:val="94"/>
                </w:rPr>
                <w:t>Consent of Ernst &amp; Young LLP</w:t>
              </w:r>
            </w:hyperlink>
          </w:p>
        </w:tc>
        <w:tc>
          <w:tcPr>
            <w:tcW w:w="8060" w:type="dxa"/>
            <w:vAlign w:val="bottom"/>
            <w:gridSpan w:val="9"/>
          </w:tcPr>
          <w:p>
            <w:pPr>
              <w:spacing w:after="0"/>
              <w:rPr>
                <w:sz w:val="24"/>
                <w:szCs w:val="24"/>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24.1</w:t>
            </w:r>
          </w:p>
        </w:tc>
        <w:tc>
          <w:tcPr>
            <w:tcW w:w="9880" w:type="dxa"/>
            <w:vAlign w:val="bottom"/>
            <w:gridSpan w:val="16"/>
          </w:tcPr>
          <w:p>
            <w:pPr>
              <w:spacing w:after="0"/>
              <w:rPr>
                <w:rFonts w:ascii="Arial" w:cs="Arial" w:eastAsia="Arial" w:hAnsi="Arial"/>
                <w:sz w:val="14"/>
                <w:szCs w:val="14"/>
                <w:color w:val="0000FF"/>
              </w:rPr>
            </w:pPr>
            <w:hyperlink r:id="rId46">
              <w:r>
                <w:rPr>
                  <w:rFonts w:ascii="Arial" w:cs="Arial" w:eastAsia="Arial" w:hAnsi="Arial"/>
                  <w:sz w:val="14"/>
                  <w:szCs w:val="14"/>
                  <w:color w:val="0000FF"/>
                </w:rPr>
                <w:t>Power of Attorney (incorporated by reference to Exhibit 24.1 to the Company’s Current Report on Form 10-K, filed February 27, 2019)</w:t>
              </w:r>
            </w:hyperlink>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31.1+</w:t>
            </w:r>
          </w:p>
        </w:tc>
        <w:tc>
          <w:tcPr>
            <w:tcW w:w="5740" w:type="dxa"/>
            <w:vAlign w:val="bottom"/>
            <w:tcBorders>
              <w:top w:val="single" w:sz="8" w:color="0000FF"/>
              <w:bottom w:val="single" w:sz="8" w:color="0000FF"/>
            </w:tcBorders>
            <w:gridSpan w:val="11"/>
          </w:tcPr>
          <w:p>
            <w:pPr>
              <w:spacing w:after="0"/>
              <w:rPr>
                <w:rFonts w:ascii="Arial" w:cs="Arial" w:eastAsia="Arial" w:hAnsi="Arial"/>
                <w:sz w:val="14"/>
                <w:szCs w:val="14"/>
                <w:color w:val="0000FF"/>
                <w:w w:val="94"/>
              </w:rPr>
            </w:pPr>
            <w:hyperlink w:anchor="page10">
              <w:r>
                <w:rPr>
                  <w:rFonts w:ascii="Arial" w:cs="Arial" w:eastAsia="Arial" w:hAnsi="Arial"/>
                  <w:sz w:val="14"/>
                  <w:szCs w:val="14"/>
                  <w:color w:val="0000FF"/>
                  <w:w w:val="94"/>
                </w:rPr>
                <w:t>Certification of Chief Executive Officer Pursuant to Section 302 of the Sarbanes-Oxley Act of 2002</w:t>
              </w:r>
            </w:hyperlink>
          </w:p>
        </w:tc>
        <w:tc>
          <w:tcPr>
            <w:tcW w:w="2060" w:type="dxa"/>
            <w:vAlign w:val="bottom"/>
            <w:tcBorders>
              <w:top w:val="single" w:sz="8" w:color="0000FF"/>
            </w:tcBorders>
          </w:tcPr>
          <w:p>
            <w:pPr>
              <w:spacing w:after="0"/>
              <w:rPr>
                <w:sz w:val="24"/>
                <w:szCs w:val="24"/>
                <w:color w:val="auto"/>
              </w:rPr>
            </w:pPr>
          </w:p>
        </w:tc>
        <w:tc>
          <w:tcPr>
            <w:tcW w:w="2080" w:type="dxa"/>
            <w:vAlign w:val="bottom"/>
            <w:gridSpan w:val="4"/>
          </w:tcPr>
          <w:p>
            <w:pPr>
              <w:spacing w:after="0"/>
              <w:rPr>
                <w:sz w:val="24"/>
                <w:szCs w:val="24"/>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31.2+</w:t>
            </w:r>
          </w:p>
        </w:tc>
        <w:tc>
          <w:tcPr>
            <w:tcW w:w="5700" w:type="dxa"/>
            <w:vAlign w:val="bottom"/>
            <w:tcBorders>
              <w:bottom w:val="single" w:sz="8" w:color="0000FF"/>
            </w:tcBorders>
            <w:gridSpan w:val="10"/>
          </w:tcPr>
          <w:p>
            <w:pPr>
              <w:spacing w:after="0"/>
              <w:rPr>
                <w:rFonts w:ascii="Arial" w:cs="Arial" w:eastAsia="Arial" w:hAnsi="Arial"/>
                <w:sz w:val="14"/>
                <w:szCs w:val="14"/>
                <w:color w:val="0000FF"/>
                <w:w w:val="94"/>
              </w:rPr>
            </w:pPr>
            <w:hyperlink w:anchor="page11">
              <w:r>
                <w:rPr>
                  <w:rFonts w:ascii="Arial" w:cs="Arial" w:eastAsia="Arial" w:hAnsi="Arial"/>
                  <w:sz w:val="14"/>
                  <w:szCs w:val="14"/>
                  <w:color w:val="0000FF"/>
                  <w:w w:val="94"/>
                </w:rPr>
                <w:t>Certification of Chief Financial Officer Pursuant to Section 302 of the Sarbanes-Oxley Act of 2002</w:t>
              </w:r>
            </w:hyperlink>
          </w:p>
        </w:tc>
        <w:tc>
          <w:tcPr>
            <w:tcW w:w="4180" w:type="dxa"/>
            <w:vAlign w:val="bottom"/>
            <w:gridSpan w:val="6"/>
          </w:tcPr>
          <w:p>
            <w:pPr>
              <w:spacing w:after="0"/>
              <w:rPr>
                <w:sz w:val="24"/>
                <w:szCs w:val="24"/>
                <w:color w:val="auto"/>
              </w:rPr>
            </w:pPr>
          </w:p>
        </w:tc>
      </w:tr>
    </w:tbl>
    <w:p>
      <w:pPr>
        <w:sectPr>
          <w:pgSz w:w="11900" w:h="16838" w:orient="portrait"/>
          <w:cols w:equalWidth="0" w:num="1">
            <w:col w:w="11360"/>
          </w:cols>
          <w:pgMar w:left="300" w:top="873" w:right="239" w:bottom="1440" w:gutter="0" w:footer="0" w:header="0"/>
        </w:sectPr>
      </w:pPr>
    </w:p>
    <w:bookmarkStart w:id="7" w:name="page8"/>
    <w:bookmarkEnd w:id="7"/>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color w:val="auto"/>
              </w:rPr>
              <w:t>32.1+</w:t>
            </w:r>
          </w:p>
        </w:tc>
        <w:tc>
          <w:tcPr>
            <w:tcW w:w="7360" w:type="dxa"/>
            <w:vAlign w:val="bottom"/>
            <w:tcBorders>
              <w:bottom w:val="single" w:sz="8" w:color="0000FF"/>
            </w:tcBorders>
            <w:gridSpan w:val="2"/>
          </w:tcPr>
          <w:p>
            <w:pPr>
              <w:spacing w:after="0"/>
              <w:rPr>
                <w:rFonts w:ascii="Arial" w:cs="Arial" w:eastAsia="Arial" w:hAnsi="Arial"/>
                <w:sz w:val="14"/>
                <w:szCs w:val="14"/>
                <w:color w:val="0000FF"/>
                <w:w w:val="94"/>
              </w:rPr>
            </w:pPr>
            <w:hyperlink w:anchor="page12">
              <w:r>
                <w:rPr>
                  <w:rFonts w:ascii="Arial" w:cs="Arial" w:eastAsia="Arial" w:hAnsi="Arial"/>
                  <w:sz w:val="14"/>
                  <w:szCs w:val="14"/>
                  <w:color w:val="0000FF"/>
                  <w:w w:val="94"/>
                </w:rPr>
                <w:t>Certification of Chief Executive Officer and Chief Financial Officer Pursuant to Section 906 of the Sarbanes-Oxley Act of 2002</w:t>
              </w:r>
            </w:hyperlink>
          </w:p>
        </w:tc>
        <w:tc>
          <w:tcPr>
            <w:tcW w:w="2520" w:type="dxa"/>
            <w:vAlign w:val="bottom"/>
          </w:tcPr>
          <w:p>
            <w:pPr>
              <w:spacing w:after="0"/>
              <w:rPr>
                <w:sz w:val="14"/>
                <w:szCs w:val="14"/>
                <w:color w:val="auto"/>
              </w:rPr>
            </w:pPr>
          </w:p>
        </w:tc>
      </w:tr>
      <w:tr>
        <w:trPr>
          <w:trHeight w:val="454"/>
        </w:trPr>
        <w:tc>
          <w:tcPr>
            <w:tcW w:w="1480" w:type="dxa"/>
            <w:vAlign w:val="bottom"/>
          </w:tcPr>
          <w:p>
            <w:pPr>
              <w:spacing w:after="0"/>
              <w:rPr>
                <w:sz w:val="20"/>
                <w:szCs w:val="20"/>
                <w:color w:val="auto"/>
              </w:rPr>
            </w:pPr>
            <w:r>
              <w:rPr>
                <w:rFonts w:ascii="Arial" w:cs="Arial" w:eastAsia="Arial" w:hAnsi="Arial"/>
                <w:sz w:val="14"/>
                <w:szCs w:val="14"/>
                <w:color w:val="auto"/>
              </w:rPr>
              <w:t>99.1+</w:t>
            </w:r>
          </w:p>
        </w:tc>
        <w:tc>
          <w:tcPr>
            <w:tcW w:w="9880" w:type="dxa"/>
            <w:vAlign w:val="bottom"/>
            <w:tcBorders>
              <w:bottom w:val="single" w:sz="8" w:color="0000FF"/>
            </w:tcBorders>
            <w:gridSpan w:val="3"/>
          </w:tcPr>
          <w:p>
            <w:pPr>
              <w:spacing w:after="0"/>
              <w:rPr>
                <w:rFonts w:ascii="Arial" w:cs="Arial" w:eastAsia="Arial" w:hAnsi="Arial"/>
                <w:sz w:val="14"/>
                <w:szCs w:val="14"/>
                <w:color w:val="0000FF"/>
                <w:w w:val="93"/>
              </w:rPr>
            </w:pPr>
            <w:hyperlink w:anchor="page13">
              <w:r>
                <w:rPr>
                  <w:rFonts w:ascii="Arial" w:cs="Arial" w:eastAsia="Arial" w:hAnsi="Arial"/>
                  <w:sz w:val="14"/>
                  <w:szCs w:val="14"/>
                  <w:color w:val="0000FF"/>
                  <w:w w:val="93"/>
                </w:rPr>
                <w:t>DLV/HHPI Summerlin, LLC audited Consolidated Financial Statements as of December 31, 2018 and for the year ended December 31, 2018 and unaudited Consolidated</w:t>
              </w:r>
            </w:hyperlink>
          </w:p>
        </w:tc>
      </w:tr>
      <w:tr>
        <w:trPr>
          <w:trHeight w:val="152"/>
        </w:trPr>
        <w:tc>
          <w:tcPr>
            <w:tcW w:w="1480" w:type="dxa"/>
            <w:vAlign w:val="bottom"/>
          </w:tcPr>
          <w:p>
            <w:pPr>
              <w:spacing w:after="0"/>
              <w:rPr>
                <w:sz w:val="13"/>
                <w:szCs w:val="13"/>
                <w:color w:val="auto"/>
              </w:rPr>
            </w:pPr>
          </w:p>
        </w:tc>
        <w:tc>
          <w:tcPr>
            <w:tcW w:w="5820" w:type="dxa"/>
            <w:vAlign w:val="bottom"/>
            <w:tcBorders>
              <w:bottom w:val="single" w:sz="8" w:color="0000FF"/>
            </w:tcBorders>
          </w:tcPr>
          <w:p>
            <w:pPr>
              <w:spacing w:after="0" w:line="153" w:lineRule="exact"/>
              <w:rPr>
                <w:rFonts w:ascii="Arial" w:cs="Arial" w:eastAsia="Arial" w:hAnsi="Arial"/>
                <w:sz w:val="14"/>
                <w:szCs w:val="14"/>
                <w:color w:val="0000FF"/>
                <w:w w:val="91"/>
              </w:rPr>
            </w:pPr>
            <w:hyperlink w:anchor="page13">
              <w:r>
                <w:rPr>
                  <w:rFonts w:ascii="Arial" w:cs="Arial" w:eastAsia="Arial" w:hAnsi="Arial"/>
                  <w:sz w:val="14"/>
                  <w:szCs w:val="14"/>
                  <w:color w:val="0000FF"/>
                  <w:w w:val="91"/>
                </w:rPr>
                <w:t>Financial Statements as of December 31, 2017, and for the years ended December 31, 2017 and 2016</w:t>
              </w:r>
            </w:hyperlink>
          </w:p>
        </w:tc>
        <w:tc>
          <w:tcPr>
            <w:tcW w:w="4060" w:type="dxa"/>
            <w:vAlign w:val="bottom"/>
            <w:gridSpan w:val="2"/>
          </w:tcPr>
          <w:p>
            <w:pPr>
              <w:spacing w:after="0"/>
              <w:rPr>
                <w:sz w:val="13"/>
                <w:szCs w:val="13"/>
                <w:color w:val="auto"/>
              </w:rPr>
            </w:pPr>
          </w:p>
        </w:tc>
      </w:tr>
      <w:tr>
        <w:trPr>
          <w:trHeight w:val="485"/>
        </w:trPr>
        <w:tc>
          <w:tcPr>
            <w:tcW w:w="1480" w:type="dxa"/>
            <w:vAlign w:val="bottom"/>
          </w:tcPr>
          <w:p>
            <w:pPr>
              <w:spacing w:after="0"/>
              <w:rPr>
                <w:sz w:val="20"/>
                <w:szCs w:val="20"/>
                <w:color w:val="auto"/>
              </w:rPr>
            </w:pPr>
            <w:r>
              <w:rPr>
                <w:rFonts w:ascii="Arial" w:cs="Arial" w:eastAsia="Arial" w:hAnsi="Arial"/>
                <w:sz w:val="14"/>
                <w:szCs w:val="14"/>
                <w:color w:val="auto"/>
              </w:rPr>
              <w:t>101.INS^</w:t>
            </w:r>
          </w:p>
        </w:tc>
        <w:tc>
          <w:tcPr>
            <w:tcW w:w="9880" w:type="dxa"/>
            <w:vAlign w:val="bottom"/>
            <w:gridSpan w:val="3"/>
          </w:tcPr>
          <w:p>
            <w:pPr>
              <w:spacing w:after="0"/>
              <w:rPr>
                <w:sz w:val="20"/>
                <w:szCs w:val="20"/>
                <w:color w:val="auto"/>
              </w:rPr>
            </w:pPr>
            <w:r>
              <w:rPr>
                <w:rFonts w:ascii="Arial" w:cs="Arial" w:eastAsia="Arial" w:hAnsi="Arial"/>
                <w:sz w:val="14"/>
                <w:szCs w:val="14"/>
                <w:color w:val="auto"/>
              </w:rPr>
              <w:t>XBRL Instance Document</w:t>
            </w:r>
          </w:p>
        </w:tc>
      </w:tr>
      <w:tr>
        <w:trPr>
          <w:trHeight w:val="474"/>
        </w:trPr>
        <w:tc>
          <w:tcPr>
            <w:tcW w:w="1480" w:type="dxa"/>
            <w:vAlign w:val="bottom"/>
          </w:tcPr>
          <w:p>
            <w:pPr>
              <w:spacing w:after="0"/>
              <w:rPr>
                <w:sz w:val="20"/>
                <w:szCs w:val="20"/>
                <w:color w:val="auto"/>
              </w:rPr>
            </w:pPr>
            <w:r>
              <w:rPr>
                <w:rFonts w:ascii="Arial" w:cs="Arial" w:eastAsia="Arial" w:hAnsi="Arial"/>
                <w:sz w:val="14"/>
                <w:szCs w:val="14"/>
                <w:color w:val="auto"/>
              </w:rPr>
              <w:t>101.SCH^</w:t>
            </w:r>
          </w:p>
        </w:tc>
        <w:tc>
          <w:tcPr>
            <w:tcW w:w="9880" w:type="dxa"/>
            <w:vAlign w:val="bottom"/>
            <w:gridSpan w:val="3"/>
          </w:tcPr>
          <w:p>
            <w:pPr>
              <w:spacing w:after="0"/>
              <w:rPr>
                <w:sz w:val="20"/>
                <w:szCs w:val="20"/>
                <w:color w:val="auto"/>
              </w:rPr>
            </w:pPr>
            <w:r>
              <w:rPr>
                <w:rFonts w:ascii="Arial" w:cs="Arial" w:eastAsia="Arial" w:hAnsi="Arial"/>
                <w:sz w:val="14"/>
                <w:szCs w:val="14"/>
                <w:color w:val="auto"/>
              </w:rPr>
              <w:t>XBRL Taxonomy Extension Schema Document</w:t>
            </w:r>
          </w:p>
        </w:tc>
      </w:tr>
      <w:tr>
        <w:trPr>
          <w:trHeight w:val="474"/>
        </w:trPr>
        <w:tc>
          <w:tcPr>
            <w:tcW w:w="1480" w:type="dxa"/>
            <w:vAlign w:val="bottom"/>
          </w:tcPr>
          <w:p>
            <w:pPr>
              <w:spacing w:after="0"/>
              <w:rPr>
                <w:sz w:val="20"/>
                <w:szCs w:val="20"/>
                <w:color w:val="auto"/>
              </w:rPr>
            </w:pPr>
            <w:r>
              <w:rPr>
                <w:rFonts w:ascii="Arial" w:cs="Arial" w:eastAsia="Arial" w:hAnsi="Arial"/>
                <w:sz w:val="14"/>
                <w:szCs w:val="14"/>
                <w:color w:val="auto"/>
              </w:rPr>
              <w:t>101.CAL^</w:t>
            </w:r>
          </w:p>
        </w:tc>
        <w:tc>
          <w:tcPr>
            <w:tcW w:w="9880" w:type="dxa"/>
            <w:vAlign w:val="bottom"/>
            <w:gridSpan w:val="3"/>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474"/>
        </w:trPr>
        <w:tc>
          <w:tcPr>
            <w:tcW w:w="1480" w:type="dxa"/>
            <w:vAlign w:val="bottom"/>
          </w:tcPr>
          <w:p>
            <w:pPr>
              <w:spacing w:after="0"/>
              <w:rPr>
                <w:sz w:val="20"/>
                <w:szCs w:val="20"/>
                <w:color w:val="auto"/>
              </w:rPr>
            </w:pPr>
            <w:r>
              <w:rPr>
                <w:rFonts w:ascii="Arial" w:cs="Arial" w:eastAsia="Arial" w:hAnsi="Arial"/>
                <w:sz w:val="14"/>
                <w:szCs w:val="14"/>
                <w:color w:val="auto"/>
              </w:rPr>
              <w:t>101.LAB^</w:t>
            </w:r>
          </w:p>
        </w:tc>
        <w:tc>
          <w:tcPr>
            <w:tcW w:w="9880" w:type="dxa"/>
            <w:vAlign w:val="bottom"/>
            <w:gridSpan w:val="3"/>
          </w:tcPr>
          <w:p>
            <w:pPr>
              <w:spacing w:after="0"/>
              <w:rPr>
                <w:sz w:val="20"/>
                <w:szCs w:val="20"/>
                <w:color w:val="auto"/>
              </w:rPr>
            </w:pPr>
            <w:r>
              <w:rPr>
                <w:rFonts w:ascii="Arial" w:cs="Arial" w:eastAsia="Arial" w:hAnsi="Arial"/>
                <w:sz w:val="14"/>
                <w:szCs w:val="14"/>
                <w:color w:val="auto"/>
              </w:rPr>
              <w:t>XBRL Taxonomy Extension Label Linkbase Document</w:t>
            </w:r>
          </w:p>
        </w:tc>
      </w:tr>
      <w:tr>
        <w:trPr>
          <w:trHeight w:val="474"/>
        </w:trPr>
        <w:tc>
          <w:tcPr>
            <w:tcW w:w="1480" w:type="dxa"/>
            <w:vAlign w:val="bottom"/>
          </w:tcPr>
          <w:p>
            <w:pPr>
              <w:spacing w:after="0"/>
              <w:rPr>
                <w:sz w:val="20"/>
                <w:szCs w:val="20"/>
                <w:color w:val="auto"/>
              </w:rPr>
            </w:pPr>
            <w:r>
              <w:rPr>
                <w:rFonts w:ascii="Arial" w:cs="Arial" w:eastAsia="Arial" w:hAnsi="Arial"/>
                <w:sz w:val="14"/>
                <w:szCs w:val="14"/>
                <w:color w:val="auto"/>
              </w:rPr>
              <w:t>101.PRE^</w:t>
            </w:r>
          </w:p>
        </w:tc>
        <w:tc>
          <w:tcPr>
            <w:tcW w:w="9880" w:type="dxa"/>
            <w:vAlign w:val="bottom"/>
            <w:gridSpan w:val="3"/>
          </w:tcPr>
          <w:p>
            <w:pPr>
              <w:spacing w:after="0"/>
              <w:rPr>
                <w:sz w:val="20"/>
                <w:szCs w:val="20"/>
                <w:color w:val="auto"/>
              </w:rPr>
            </w:pPr>
            <w:r>
              <w:rPr>
                <w:rFonts w:ascii="Arial" w:cs="Arial" w:eastAsia="Arial" w:hAnsi="Arial"/>
                <w:sz w:val="14"/>
                <w:szCs w:val="14"/>
                <w:color w:val="auto"/>
              </w:rPr>
              <w:t>XBRL Taxonomy Extension Presentation Linkbase Document</w:t>
            </w:r>
          </w:p>
        </w:tc>
      </w:tr>
      <w:tr>
        <w:trPr>
          <w:trHeight w:val="474"/>
        </w:trPr>
        <w:tc>
          <w:tcPr>
            <w:tcW w:w="1480" w:type="dxa"/>
            <w:vAlign w:val="bottom"/>
          </w:tcPr>
          <w:p>
            <w:pPr>
              <w:spacing w:after="0"/>
              <w:rPr>
                <w:sz w:val="20"/>
                <w:szCs w:val="20"/>
                <w:color w:val="auto"/>
              </w:rPr>
            </w:pPr>
            <w:r>
              <w:rPr>
                <w:rFonts w:ascii="Arial" w:cs="Arial" w:eastAsia="Arial" w:hAnsi="Arial"/>
                <w:sz w:val="14"/>
                <w:szCs w:val="14"/>
                <w:color w:val="auto"/>
              </w:rPr>
              <w:t>101.DEF^</w:t>
            </w:r>
          </w:p>
        </w:tc>
        <w:tc>
          <w:tcPr>
            <w:tcW w:w="9880" w:type="dxa"/>
            <w:vAlign w:val="bottom"/>
            <w:gridSpan w:val="3"/>
          </w:tcPr>
          <w:p>
            <w:pPr>
              <w:spacing w:after="0"/>
              <w:rPr>
                <w:sz w:val="20"/>
                <w:szCs w:val="20"/>
                <w:color w:val="auto"/>
              </w:rPr>
            </w:pPr>
            <w:r>
              <w:rPr>
                <w:rFonts w:ascii="Arial" w:cs="Arial" w:eastAsia="Arial" w:hAnsi="Arial"/>
                <w:sz w:val="14"/>
                <w:szCs w:val="14"/>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937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extLst>
                    </a:blip>
                    <a:srcRect/>
                    <a:stretch>
                      <a:fillRect/>
                    </a:stretch>
                  </pic:blipFill>
                  <pic:spPr bwMode="auto">
                    <a:xfrm>
                      <a:off x="0" y="0"/>
                      <a:ext cx="937260" cy="6985"/>
                    </a:xfrm>
                    <a:prstGeom prst="rect">
                      <a:avLst/>
                    </a:prstGeom>
                    <a:noFill/>
                  </pic:spPr>
                </pic:pic>
              </a:graphicData>
            </a:graphic>
          </wp:anchor>
        </w:drawing>
      </w:r>
    </w:p>
    <w:p>
      <w:pPr>
        <w:spacing w:after="0" w:line="208" w:lineRule="exact"/>
        <w:rPr>
          <w:sz w:val="20"/>
          <w:szCs w:val="20"/>
          <w:color w:val="auto"/>
        </w:rPr>
      </w:pPr>
    </w:p>
    <w:p>
      <w:pPr>
        <w:ind w:right="7920" w:firstLine="6"/>
        <w:spacing w:after="0" w:line="264" w:lineRule="auto"/>
        <w:tabs>
          <w:tab w:leader="none" w:pos="215" w:val="left"/>
        </w:tabs>
        <w:numPr>
          <w:ilvl w:val="0"/>
          <w:numId w:val="3"/>
        </w:numPr>
        <w:rPr>
          <w:rFonts w:ascii="Arial" w:cs="Arial" w:eastAsia="Arial" w:hAnsi="Arial"/>
          <w:sz w:val="14"/>
          <w:szCs w:val="14"/>
          <w:color w:val="auto"/>
        </w:rPr>
      </w:pPr>
      <w:r>
        <w:rPr>
          <w:rFonts w:ascii="Arial" w:cs="Arial" w:eastAsia="Arial" w:hAnsi="Arial"/>
          <w:sz w:val="14"/>
          <w:szCs w:val="14"/>
          <w:color w:val="auto"/>
        </w:rPr>
        <w:t>Management contract, compensatory plan or arrangement + Filed herewith</w:t>
      </w:r>
    </w:p>
    <w:p>
      <w:pPr>
        <w:jc w:val="both"/>
        <w:spacing w:after="0" w:line="259" w:lineRule="auto"/>
        <w:rPr>
          <w:rFonts w:ascii="Arial" w:cs="Arial" w:eastAsia="Arial" w:hAnsi="Arial"/>
          <w:sz w:val="14"/>
          <w:szCs w:val="14"/>
          <w:color w:val="auto"/>
        </w:rPr>
      </w:pPr>
      <w:r>
        <w:rPr>
          <w:rFonts w:ascii="Arial" w:cs="Arial" w:eastAsia="Arial" w:hAnsi="Arial"/>
          <w:sz w:val="14"/>
          <w:szCs w:val="14"/>
          <w:color w:val="auto"/>
        </w:rPr>
        <w:t>^ Submitted electronically with the original Annual Report on Form 10-K for the year ended December 31, 2018 filed on February 27, 2019. The following documents from the Company’s Annual Report on Form 10-K for the year ended December 31, 2018 are formatted in XBRL (Extensible Business Reporting Language): (i) the Consolidated Statements of Operations for the years ended December 31, 2018, 2017 and 2016, (ii) the Consolidated Balance Sheets at December 31, 2018 and 2017, (iii) the Consolidated Statements of Cash Flows for the years ended December 31, 2018, 2017 and 2016, (iv) the Consolidated Statements of Shareholders’ Equity for the years ended December 31, 2018, 2017 and 2016. In accordance with Rule 402 of Regulation S-T, the XBRL related information in Exhibit 101 to the Annual Report on Form 10-K shall not be deemed to be “filed” for purposes of Section 18 of the Securities Exchange Act of 1934, as amended (the “Exchange Act”), or otherwise subject to the liability of that section, and shall not be part of any registration statement or other document filed under the Securities Act of 1933, as amended, or the Exchange Act, except as shall be expressly set forth by specific reference in such filing.</w:t>
      </w:r>
    </w:p>
    <w:p>
      <w:pPr>
        <w:sectPr>
          <w:pgSz w:w="11900" w:h="16838" w:orient="portrait"/>
          <w:cols w:equalWidth="0" w:num="1">
            <w:col w:w="11460"/>
          </w:cols>
          <w:pgMar w:left="220" w:top="614" w:right="21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 of Independent Auditors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We consent to the incorporation by reference in the following Registration Statements:</w:t>
      </w:r>
    </w:p>
    <w:p>
      <w:pPr>
        <w:spacing w:after="0" w:line="76" w:lineRule="exact"/>
        <w:rPr>
          <w:sz w:val="20"/>
          <w:szCs w:val="20"/>
          <w:color w:val="auto"/>
        </w:rPr>
      </w:pPr>
    </w:p>
    <w:p>
      <w:pPr>
        <w:ind w:left="520" w:hanging="25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Registration Statement (Form S-3 No. 333-184466) of The Howard Hughes Corporation, and</w:t>
      </w:r>
    </w:p>
    <w:p>
      <w:pPr>
        <w:spacing w:after="0" w:line="21" w:lineRule="exact"/>
        <w:rPr>
          <w:rFonts w:ascii="Arial" w:cs="Arial" w:eastAsia="Arial" w:hAnsi="Arial"/>
          <w:sz w:val="14"/>
          <w:szCs w:val="14"/>
          <w:color w:val="auto"/>
        </w:rPr>
      </w:pPr>
    </w:p>
    <w:p>
      <w:pPr>
        <w:ind w:left="520" w:right="220" w:hanging="255"/>
        <w:spacing w:after="0" w:line="274"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Registration Statements (Form S-8 No. 333-170431, Form S-8 No. 333-170432, Form S-8 No. 333-171909, and Form S-8 No. 333-171910) pertaining to the 2010 Amended and Restated Incentive Plan of The Howard Hughes Corporation;</w:t>
      </w:r>
    </w:p>
    <w:p>
      <w:pPr>
        <w:spacing w:after="0" w:line="140"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of our report dated March 15, 2019, with respect to the consolidated financial statements of DLV/HHPI Summerlin, LLC, included in this Form 10-K/A - Amendment No. 1 to the Annual Report on Form 10-K of The Howard Hughes Corporation for the year ended December 31, 2018.</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March 15, 2019</w:t>
      </w:r>
    </w:p>
    <w:p>
      <w:pPr>
        <w:sectPr>
          <w:pgSz w:w="11900" w:h="16838" w:orient="portrait"/>
          <w:cols w:equalWidth="0" w:num="1">
            <w:col w:w="11460"/>
          </w:cols>
          <w:pgMar w:left="220" w:top="125" w:right="219" w:bottom="1440" w:gutter="0" w:footer="0" w:header="0"/>
        </w:sectPr>
      </w:pPr>
    </w:p>
    <w:bookmarkStart w:id="9" w:name="page10"/>
    <w:bookmarkEnd w:id="9"/>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CERTIFICATION OF CHIEF EXECUTIVE OFFICER PURSUANT TO RULE 13a-14(a)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 David R. Weinreb, certify that:</w:t>
      </w:r>
    </w:p>
    <w:p>
      <w:pPr>
        <w:spacing w:after="0" w:line="184" w:lineRule="exact"/>
        <w:rPr>
          <w:sz w:val="20"/>
          <w:szCs w:val="20"/>
          <w:color w:val="auto"/>
        </w:rPr>
      </w:pPr>
    </w:p>
    <w:p>
      <w:pPr>
        <w:ind w:left="520" w:hanging="255"/>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 have reviewed this Amendment No. 1 to the Annual Report on Form 10-K/A of The Howard Hughes Corporation;</w:t>
      </w:r>
    </w:p>
    <w:p>
      <w:pPr>
        <w:spacing w:after="0" w:line="151" w:lineRule="exact"/>
        <w:rPr>
          <w:rFonts w:ascii="Arial" w:cs="Arial" w:eastAsia="Arial" w:hAnsi="Arial"/>
          <w:sz w:val="14"/>
          <w:szCs w:val="14"/>
          <w:color w:val="auto"/>
        </w:rPr>
      </w:pPr>
    </w:p>
    <w:p>
      <w:pPr>
        <w:ind w:left="520" w:right="740" w:hanging="255"/>
        <w:spacing w:after="0" w:line="288"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4"/>
          <w:szCs w:val="14"/>
          <w:color w:val="auto"/>
        </w:rPr>
      </w:pPr>
    </w:p>
    <w:p>
      <w:pPr>
        <w:ind w:left="520" w:right="200" w:hanging="255"/>
        <w:spacing w:after="0" w:line="288"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4"/>
          <w:szCs w:val="14"/>
          <w:color w:val="auto"/>
        </w:rPr>
      </w:pPr>
    </w:p>
    <w:p>
      <w:pPr>
        <w:ind w:left="520" w:right="40" w:hanging="255"/>
        <w:spacing w:after="0" w:line="288"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jc w:val="both"/>
        <w:ind w:left="1040" w:right="360" w:hanging="258"/>
        <w:spacing w:after="0" w:line="272" w:lineRule="auto"/>
        <w:tabs>
          <w:tab w:leader="none" w:pos="1040" w:val="left"/>
        </w:tabs>
        <w:numPr>
          <w:ilvl w:val="1"/>
          <w:numId w:val="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4"/>
          <w:szCs w:val="14"/>
          <w:color w:val="auto"/>
        </w:rPr>
      </w:pPr>
    </w:p>
    <w:p>
      <w:pPr>
        <w:jc w:val="both"/>
        <w:ind w:left="1040" w:right="580" w:hanging="258"/>
        <w:spacing w:after="0" w:line="272" w:lineRule="auto"/>
        <w:tabs>
          <w:tab w:leader="none" w:pos="1040" w:val="left"/>
        </w:tabs>
        <w:numPr>
          <w:ilvl w:val="1"/>
          <w:numId w:val="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4"/>
          <w:szCs w:val="14"/>
          <w:color w:val="auto"/>
        </w:rPr>
      </w:pPr>
    </w:p>
    <w:p>
      <w:pPr>
        <w:ind w:left="1040" w:right="160" w:hanging="258"/>
        <w:spacing w:after="0" w:line="288" w:lineRule="auto"/>
        <w:tabs>
          <w:tab w:leader="none" w:pos="1040" w:val="left"/>
        </w:tabs>
        <w:numPr>
          <w:ilvl w:val="1"/>
          <w:numId w:val="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4"/>
          <w:szCs w:val="14"/>
          <w:color w:val="auto"/>
        </w:rPr>
      </w:pPr>
    </w:p>
    <w:p>
      <w:pPr>
        <w:ind w:left="1040" w:right="160" w:hanging="258"/>
        <w:spacing w:after="0" w:line="328" w:lineRule="auto"/>
        <w:tabs>
          <w:tab w:leader="none" w:pos="1040" w:val="left"/>
        </w:tabs>
        <w:numPr>
          <w:ilvl w:val="1"/>
          <w:numId w:val="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3"/>
          <w:szCs w:val="13"/>
          <w:color w:val="auto"/>
        </w:rPr>
      </w:pPr>
    </w:p>
    <w:p>
      <w:pPr>
        <w:ind w:left="520" w:right="540" w:hanging="255"/>
        <w:spacing w:after="0" w:line="288"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4"/>
          <w:szCs w:val="14"/>
          <w:color w:val="auto"/>
        </w:rPr>
      </w:pPr>
    </w:p>
    <w:p>
      <w:pPr>
        <w:ind w:left="1040" w:right="520" w:hanging="258"/>
        <w:spacing w:after="0" w:line="288" w:lineRule="auto"/>
        <w:tabs>
          <w:tab w:leader="none" w:pos="1040" w:val="left"/>
        </w:tabs>
        <w:numPr>
          <w:ilvl w:val="1"/>
          <w:numId w:val="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4"/>
          <w:szCs w:val="14"/>
          <w:color w:val="auto"/>
        </w:rPr>
      </w:pPr>
    </w:p>
    <w:p>
      <w:pPr>
        <w:ind w:left="1040" w:hanging="258"/>
        <w:spacing w:after="0"/>
        <w:tabs>
          <w:tab w:leader="none" w:pos="1040" w:val="left"/>
        </w:tabs>
        <w:numPr>
          <w:ilvl w:val="1"/>
          <w:numId w:val="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Date: March 15, 2019</w:t>
      </w:r>
    </w:p>
    <w:p>
      <w:pPr>
        <w:spacing w:after="0" w:line="367"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/s/ David R. Weinreb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27940</wp:posOffset>
            </wp:positionV>
            <wp:extent cx="11836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extLst>
                    </a:blip>
                    <a:srcRect/>
                    <a:stretch>
                      <a:fillRect/>
                    </a:stretch>
                  </pic:blipFill>
                  <pic:spPr bwMode="auto">
                    <a:xfrm>
                      <a:off x="0" y="0"/>
                      <a:ext cx="1183640" cy="6985"/>
                    </a:xfrm>
                    <a:prstGeom prst="rect">
                      <a:avLst/>
                    </a:prstGeom>
                    <a:noFill/>
                  </pic:spPr>
                </pic:pic>
              </a:graphicData>
            </a:graphic>
          </wp:anchor>
        </w:drawing>
      </w:r>
    </w:p>
    <w:p>
      <w:pPr>
        <w:spacing w:after="0" w:line="45"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David R. Weinreb</w:t>
      </w:r>
    </w:p>
    <w:p>
      <w:pPr>
        <w:spacing w:after="0" w:line="55"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460"/>
          </w:cols>
          <w:pgMar w:left="220" w:top="125" w:right="219" w:bottom="1440" w:gutter="0" w:footer="0" w:header="0"/>
        </w:sectPr>
      </w:pPr>
    </w:p>
    <w:bookmarkStart w:id="10" w:name="page11"/>
    <w:bookmarkEnd w:id="10"/>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CERTIFICATION OF CHIEF FINANCIAL OFFICER PURSUANT TO RULE 13a-14(a)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 David R. O’Reilly, certify that:</w:t>
      </w:r>
    </w:p>
    <w:p>
      <w:pPr>
        <w:spacing w:after="0" w:line="152" w:lineRule="exact"/>
        <w:rPr>
          <w:sz w:val="20"/>
          <w:szCs w:val="20"/>
          <w:color w:val="auto"/>
        </w:rPr>
      </w:pPr>
    </w:p>
    <w:p>
      <w:pPr>
        <w:ind w:left="560" w:hanging="295"/>
        <w:spacing w:after="0"/>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 have reviewed this Amendment No. 1 to the Annual Report on Form 10-K/A of The Howard Hughes Corporation;</w:t>
      </w:r>
    </w:p>
    <w:p>
      <w:pPr>
        <w:spacing w:after="0" w:line="151" w:lineRule="exact"/>
        <w:rPr>
          <w:rFonts w:ascii="Arial" w:cs="Arial" w:eastAsia="Arial" w:hAnsi="Arial"/>
          <w:sz w:val="14"/>
          <w:szCs w:val="14"/>
          <w:color w:val="auto"/>
        </w:rPr>
      </w:pPr>
    </w:p>
    <w:p>
      <w:pPr>
        <w:ind w:left="520" w:right="740" w:hanging="255"/>
        <w:spacing w:after="0" w:line="288"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4"/>
          <w:szCs w:val="14"/>
          <w:color w:val="auto"/>
        </w:rPr>
      </w:pPr>
    </w:p>
    <w:p>
      <w:pPr>
        <w:ind w:left="520" w:right="200" w:hanging="255"/>
        <w:spacing w:after="0" w:line="288"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4"/>
          <w:szCs w:val="14"/>
          <w:color w:val="auto"/>
        </w:rPr>
      </w:pPr>
    </w:p>
    <w:p>
      <w:pPr>
        <w:ind w:left="520" w:right="40" w:hanging="255"/>
        <w:spacing w:after="0" w:line="288"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jc w:val="both"/>
        <w:ind w:left="1040" w:right="360" w:hanging="258"/>
        <w:spacing w:after="0" w:line="272" w:lineRule="auto"/>
        <w:tabs>
          <w:tab w:leader="none" w:pos="1040" w:val="left"/>
        </w:tabs>
        <w:numPr>
          <w:ilvl w:val="1"/>
          <w:numId w:val="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4"/>
          <w:szCs w:val="14"/>
          <w:color w:val="auto"/>
        </w:rPr>
      </w:pPr>
    </w:p>
    <w:p>
      <w:pPr>
        <w:jc w:val="both"/>
        <w:ind w:left="1040" w:right="580" w:hanging="258"/>
        <w:spacing w:after="0" w:line="272" w:lineRule="auto"/>
        <w:tabs>
          <w:tab w:leader="none" w:pos="1040" w:val="left"/>
        </w:tabs>
        <w:numPr>
          <w:ilvl w:val="1"/>
          <w:numId w:val="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4"/>
          <w:szCs w:val="14"/>
          <w:color w:val="auto"/>
        </w:rPr>
      </w:pPr>
    </w:p>
    <w:p>
      <w:pPr>
        <w:ind w:left="1040" w:right="160" w:hanging="258"/>
        <w:spacing w:after="0" w:line="288" w:lineRule="auto"/>
        <w:tabs>
          <w:tab w:leader="none" w:pos="1040" w:val="left"/>
        </w:tabs>
        <w:numPr>
          <w:ilvl w:val="1"/>
          <w:numId w:val="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4"/>
          <w:szCs w:val="14"/>
          <w:color w:val="auto"/>
        </w:rPr>
      </w:pPr>
    </w:p>
    <w:p>
      <w:pPr>
        <w:ind w:left="1040" w:right="160" w:hanging="258"/>
        <w:spacing w:after="0" w:line="328" w:lineRule="auto"/>
        <w:tabs>
          <w:tab w:leader="none" w:pos="1040" w:val="left"/>
        </w:tabs>
        <w:numPr>
          <w:ilvl w:val="1"/>
          <w:numId w:val="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3"/>
          <w:szCs w:val="13"/>
          <w:color w:val="auto"/>
        </w:rPr>
      </w:pPr>
    </w:p>
    <w:p>
      <w:pPr>
        <w:ind w:left="520" w:right="540" w:hanging="255"/>
        <w:spacing w:after="0" w:line="288"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4"/>
          <w:szCs w:val="14"/>
          <w:color w:val="auto"/>
        </w:rPr>
      </w:pPr>
    </w:p>
    <w:p>
      <w:pPr>
        <w:ind w:left="1040" w:right="520" w:hanging="258"/>
        <w:spacing w:after="0" w:line="288" w:lineRule="auto"/>
        <w:tabs>
          <w:tab w:leader="none" w:pos="1040" w:val="left"/>
        </w:tabs>
        <w:numPr>
          <w:ilvl w:val="1"/>
          <w:numId w:val="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4"/>
          <w:szCs w:val="14"/>
          <w:color w:val="auto"/>
        </w:rPr>
      </w:pPr>
    </w:p>
    <w:p>
      <w:pPr>
        <w:ind w:left="1040" w:hanging="258"/>
        <w:spacing w:after="0"/>
        <w:tabs>
          <w:tab w:leader="none" w:pos="1040" w:val="left"/>
        </w:tabs>
        <w:numPr>
          <w:ilvl w:val="1"/>
          <w:numId w:val="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Date: March 15, 2019</w:t>
      </w:r>
    </w:p>
    <w:p>
      <w:pPr>
        <w:spacing w:after="0" w:line="367"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/s/ David R.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27940</wp:posOffset>
            </wp:positionV>
            <wp:extent cx="11836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extLst>
                    </a:blip>
                    <a:srcRect/>
                    <a:stretch>
                      <a:fillRect/>
                    </a:stretch>
                  </pic:blipFill>
                  <pic:spPr bwMode="auto">
                    <a:xfrm>
                      <a:off x="0" y="0"/>
                      <a:ext cx="1183640" cy="6985"/>
                    </a:xfrm>
                    <a:prstGeom prst="rect">
                      <a:avLst/>
                    </a:prstGeom>
                    <a:noFill/>
                  </pic:spPr>
                </pic:pic>
              </a:graphicData>
            </a:graphic>
          </wp:anchor>
        </w:drawing>
      </w:r>
    </w:p>
    <w:p>
      <w:pPr>
        <w:spacing w:after="0" w:line="45"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David R. O’Reilly</w:t>
      </w:r>
    </w:p>
    <w:p>
      <w:pPr>
        <w:spacing w:after="0" w:line="55"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460"/>
          </w:cols>
          <w:pgMar w:left="220" w:top="125" w:right="219" w:bottom="1440" w:gutter="0" w:footer="0" w:header="0"/>
        </w:sectPr>
      </w:pPr>
    </w:p>
    <w:bookmarkStart w:id="11" w:name="page12"/>
    <w:bookmarkEnd w:id="11"/>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CERTIFICATION PURSUANT TO 18 U.S.C. 1350 ADOPTED PURSUANT TO SECTION 906 OF THE SARBANES-OXLEY ACT OF 2002</w:t>
      </w:r>
    </w:p>
    <w:p>
      <w:pPr>
        <w:spacing w:after="0" w:line="360" w:lineRule="exact"/>
        <w:rPr>
          <w:sz w:val="20"/>
          <w:szCs w:val="20"/>
          <w:color w:val="auto"/>
        </w:rPr>
      </w:pPr>
    </w:p>
    <w:p>
      <w:pPr>
        <w:ind w:right="200"/>
        <w:spacing w:after="0" w:line="272" w:lineRule="auto"/>
        <w:rPr>
          <w:sz w:val="20"/>
          <w:szCs w:val="20"/>
          <w:color w:val="auto"/>
        </w:rPr>
      </w:pPr>
      <w:r>
        <w:rPr>
          <w:rFonts w:ascii="Arial" w:cs="Arial" w:eastAsia="Arial" w:hAnsi="Arial"/>
          <w:sz w:val="14"/>
          <w:szCs w:val="14"/>
          <w:color w:val="auto"/>
        </w:rPr>
        <w:t>In connection with the filing of Amendment No. 1 to the Annual Report on Form 10-K/A of The Howard Hughes Corporation, a Delaware Corporation (the “Company”), for the period ended December 31, 2018, as filed with the Securities and Exchange Commission on the date hereof (the “Report”), each of the undersigned officers, in their capacity as officers, of the Company, hereby certify pursuant to 18 U.S.C. Section 1350, as adopted pursuant to Section 906 of the Sarbanes-Oxley Act of 2002, that, to such officer’s knowledge:</w:t>
      </w:r>
    </w:p>
    <w:p>
      <w:pPr>
        <w:spacing w:after="0" w:line="142" w:lineRule="exact"/>
        <w:rPr>
          <w:sz w:val="20"/>
          <w:szCs w:val="20"/>
          <w:color w:val="auto"/>
        </w:rPr>
      </w:pPr>
    </w:p>
    <w:p>
      <w:pPr>
        <w:ind w:left="400" w:hanging="254"/>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51" w:lineRule="exact"/>
        <w:rPr>
          <w:rFonts w:ascii="Arial" w:cs="Arial" w:eastAsia="Arial" w:hAnsi="Arial"/>
          <w:sz w:val="14"/>
          <w:szCs w:val="14"/>
          <w:color w:val="auto"/>
        </w:rPr>
      </w:pPr>
    </w:p>
    <w:p>
      <w:pPr>
        <w:ind w:left="400" w:right="20" w:hanging="254"/>
        <w:spacing w:after="0" w:line="288"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as of the dates and for periods expressed in the report.</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David R. Weinreb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22993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extLst>
                    </a:blip>
                    <a:srcRect/>
                    <a:stretch>
                      <a:fillRect/>
                    </a:stretch>
                  </pic:blipFill>
                  <pic:spPr bwMode="auto">
                    <a:xfrm>
                      <a:off x="0" y="0"/>
                      <a:ext cx="2299335"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David R. Weinreb</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Chief Executive Officer</w:t>
      </w:r>
    </w:p>
    <w:p>
      <w:pPr>
        <w:spacing w:after="0" w:line="55"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March 15, 2019</w:t>
      </w: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David R.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22993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extLst>
                    </a:blip>
                    <a:srcRect/>
                    <a:stretch>
                      <a:fillRect/>
                    </a:stretch>
                  </pic:blipFill>
                  <pic:spPr bwMode="auto">
                    <a:xfrm>
                      <a:off x="0" y="0"/>
                      <a:ext cx="2299335"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David R. O’Reilly</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Chief Financial Officer</w:t>
      </w:r>
    </w:p>
    <w:p>
      <w:pPr>
        <w:spacing w:after="0" w:line="55"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March 15, 2019</w:t>
      </w:r>
    </w:p>
    <w:p>
      <w:pPr>
        <w:sectPr>
          <w:pgSz w:w="11900" w:h="16838" w:orient="portrait"/>
          <w:cols w:equalWidth="0" w:num="1">
            <w:col w:w="11460"/>
          </w:cols>
          <w:pgMar w:left="220" w:top="125" w:right="21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5">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9892030</wp:posOffset>
            </wp:positionV>
            <wp:extent cx="721741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0">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47" Type="http://schemas.openxmlformats.org/officeDocument/2006/relationships/image" Target="media/image2.png"/><Relationship Id="rId48" Type="http://schemas.openxmlformats.org/officeDocument/2006/relationships/image" Target="media/image3.png"/><Relationship Id="rId49" Type="http://schemas.openxmlformats.org/officeDocument/2006/relationships/image" Target="media/image4.png"/><Relationship Id="rId50" Type="http://schemas.openxmlformats.org/officeDocument/2006/relationships/image" Target="media/image5.png"/><Relationship Id="rId51" Type="http://schemas.openxmlformats.org/officeDocument/2006/relationships/image" Target="media/image6.png"/><Relationship Id="rId52" Type="http://schemas.openxmlformats.org/officeDocument/2006/relationships/image" Target="media/image7.png"/><Relationship Id="rId53" Type="http://schemas.openxmlformats.org/officeDocument/2006/relationships/image" Target="media/image8.png"/><Relationship Id="rId54" Type="http://schemas.openxmlformats.org/officeDocument/2006/relationships/image" Target="media/image9.png"/><Relationship Id="rId55" Type="http://schemas.openxmlformats.org/officeDocument/2006/relationships/image" Target="media/image10.png"/><Relationship Id="rId56" Type="http://schemas.openxmlformats.org/officeDocument/2006/relationships/image" Target="media/image11.png"/><Relationship Id="rId57" Type="http://schemas.openxmlformats.org/officeDocument/2006/relationships/image" Target="media/image12.png"/><Relationship Id="rId58" Type="http://schemas.openxmlformats.org/officeDocument/2006/relationships/image" Target="media/image13.png"/><Relationship Id="rId59" Type="http://schemas.openxmlformats.org/officeDocument/2006/relationships/image" Target="media/image14.png"/><Relationship Id="rId60" Type="http://schemas.openxmlformats.org/officeDocument/2006/relationships/image" Target="media/image15.png"/><Relationship Id="rId61" Type="http://schemas.openxmlformats.org/officeDocument/2006/relationships/image" Target="media/image16.png"/><Relationship Id="rId62" Type="http://schemas.openxmlformats.org/officeDocument/2006/relationships/image" Target="media/image17.png"/><Relationship Id="rId63" Type="http://schemas.openxmlformats.org/officeDocument/2006/relationships/image" Target="media/image18.png"/><Relationship Id="rId64" Type="http://schemas.openxmlformats.org/officeDocument/2006/relationships/image" Target="media/image19.png"/><Relationship Id="rId65" Type="http://schemas.openxmlformats.org/officeDocument/2006/relationships/image" Target="media/image20.png"/><Relationship Id="rId66" Type="http://schemas.openxmlformats.org/officeDocument/2006/relationships/image" Target="media/image21.png"/><Relationship Id="rId67" Type="http://schemas.openxmlformats.org/officeDocument/2006/relationships/image" Target="media/image22.png"/><Relationship Id="rId68" Type="http://schemas.openxmlformats.org/officeDocument/2006/relationships/image" Target="media/image23.png"/><Relationship Id="rId69" Type="http://schemas.openxmlformats.org/officeDocument/2006/relationships/image" Target="media/image24.png"/><Relationship Id="rId70" Type="http://schemas.openxmlformats.org/officeDocument/2006/relationships/image" Target="media/image25.png"/><Relationship Id="rId71" Type="http://schemas.openxmlformats.org/officeDocument/2006/relationships/image" Target="media/image26.png"/><Relationship Id="rId72" Type="http://schemas.openxmlformats.org/officeDocument/2006/relationships/image" Target="media/image27.png"/><Relationship Id="rId9" Type="http://schemas.openxmlformats.org/officeDocument/2006/relationships/hyperlink" Target="http://www.sec.gov/Archives/edgar/data/1498828/000119312518004548/d517233dex11.htm" TargetMode="External"/><Relationship Id="rId10" Type="http://schemas.openxmlformats.org/officeDocument/2006/relationships/hyperlink" Target="http://www.sec.gov/Archives/edgar/data/1498828/000110465916122966/a16-12048_1ex3d1.htm" TargetMode="External"/><Relationship Id="rId11" Type="http://schemas.openxmlformats.org/officeDocument/2006/relationships/hyperlink" Target="http://www.sec.gov/Archives/edgar/data/1498828/000110465916122966/a16-12048_1ex3d2.htm" TargetMode="External"/><Relationship Id="rId12" Type="http://schemas.openxmlformats.org/officeDocument/2006/relationships/hyperlink" Target="http://www.sec.gov/Archives/edgar/data/1498828/000119312512089487/d309710dex31.htm" TargetMode="External"/><Relationship Id="rId13" Type="http://schemas.openxmlformats.org/officeDocument/2006/relationships/hyperlink" Target="http://www.sec.gov/Archives/edgar/data/1498828/000119312512089487/d309710dex41.htm" TargetMode="External"/><Relationship Id="rId14" Type="http://schemas.openxmlformats.org/officeDocument/2006/relationships/hyperlink" Target="http://www.sec.gov/Archives/edgar/data/1498828/000110465915016241/a15-5844_1ex4d2.htm" TargetMode="External"/><Relationship Id="rId15" Type="http://schemas.openxmlformats.org/officeDocument/2006/relationships/hyperlink" Target="http://www.sec.gov/Archives/edgar/data/1498828/000119312518000578/d502085dex41.htm" TargetMode="External"/><Relationship Id="rId16" Type="http://schemas.openxmlformats.org/officeDocument/2006/relationships/hyperlink" Target="http://www.sec.gov/Archives/edgar/data/1498828/000110465917018332/a17-8962_1ex4d1.htm" TargetMode="External"/><Relationship Id="rId17" Type="http://schemas.openxmlformats.org/officeDocument/2006/relationships/hyperlink" Target="http://www.sec.gov/Archives/edgar/data/1498828/000110465910058178/a10-21087_1ex10d7.htm" TargetMode="External"/><Relationship Id="rId18" Type="http://schemas.openxmlformats.org/officeDocument/2006/relationships/hyperlink" Target="http://www.sec.gov/Archives/edgar/data/1498828/000110465910058178/a10-21087_1ex10d8.htm" TargetMode="External"/><Relationship Id="rId19" Type="http://schemas.openxmlformats.org/officeDocument/2006/relationships/hyperlink" Target="http://www.sec.gov/Archives/edgar/data/1498828/000110465910058178/a10-21087_1ex10d11.htm" TargetMode="External"/><Relationship Id="rId20" Type="http://schemas.openxmlformats.org/officeDocument/2006/relationships/hyperlink" Target="http://www.sec.gov/Archives/edgar/data/1498828/000110465910058178/a10-21087_1ex99d4.htm" TargetMode="External"/><Relationship Id="rId21" Type="http://schemas.openxmlformats.org/officeDocument/2006/relationships/hyperlink" Target="http://www.sec.gov/Archives/edgar/data/1498828/000162828019002143/hhc-20181231ex105.htm" TargetMode="External"/><Relationship Id="rId22" Type="http://schemas.openxmlformats.org/officeDocument/2006/relationships/hyperlink" Target="http://www.sec.gov/Archives/edgar/data/1498828/000162828019002143/hhc-20181231ex106.htm" TargetMode="External"/><Relationship Id="rId23" Type="http://schemas.openxmlformats.org/officeDocument/2006/relationships/hyperlink" Target="http://www.sec.gov/Archives/edgar/data/1498828/000162828019002143/hhc-20181231ex107.htm" TargetMode="External"/><Relationship Id="rId24" Type="http://schemas.openxmlformats.org/officeDocument/2006/relationships/hyperlink" Target="http://www.sec.gov/Archives/edgar/data/1498828/000162828019002143/hhc-20181231ex108.htm" TargetMode="External"/><Relationship Id="rId25" Type="http://schemas.openxmlformats.org/officeDocument/2006/relationships/hyperlink" Target="http://www.sec.gov/Archives/edgar/data/1498828/000162828019002143/hhc-20181231ex109.htm" TargetMode="External"/><Relationship Id="rId26" Type="http://schemas.openxmlformats.org/officeDocument/2006/relationships/hyperlink" Target="http://www.sec.gov/Archives/edgar/data/1498828/000162828019002143/hhc-20181231ex1010.htm" TargetMode="External"/><Relationship Id="rId27" Type="http://schemas.openxmlformats.org/officeDocument/2006/relationships/hyperlink" Target="http://www.sec.gov/Archives/edgar/data/1498828/000110465917055283/a17-21244_1ex10d1.htm" TargetMode="External"/><Relationship Id="rId28" Type="http://schemas.openxmlformats.org/officeDocument/2006/relationships/hyperlink" Target="http://www.sec.gov/Archives/edgar/data/1498828/000110465917060979/a17-22914_1ex10d2.htm" TargetMode="External"/><Relationship Id="rId29" Type="http://schemas.openxmlformats.org/officeDocument/2006/relationships/hyperlink" Target="http://www.sec.gov/Archives/edgar/data/1498828/000110465917067426/a17-26281_1ex10d1.htm" TargetMode="External"/><Relationship Id="rId30" Type="http://schemas.openxmlformats.org/officeDocument/2006/relationships/hyperlink" Target="http://www.sec.gov/Archives/edgar/data/1498828/000155837018001095/hhc-20171231ex1011a8605.htm" TargetMode="External"/><Relationship Id="rId31" Type="http://schemas.openxmlformats.org/officeDocument/2006/relationships/hyperlink" Target="http://www.sec.gov/Archives/edgar/data/1498828/000110465917055283/a17-21244_1ex10d2.htm" TargetMode="External"/><Relationship Id="rId32" Type="http://schemas.openxmlformats.org/officeDocument/2006/relationships/hyperlink" Target="http://www.sec.gov/Archives/edgar/data/1498828/000110465917060979/a17-22914_1ex10d3.htm" TargetMode="External"/><Relationship Id="rId33" Type="http://schemas.openxmlformats.org/officeDocument/2006/relationships/hyperlink" Target="http://www.sec.gov/Archives/edgar/data/1498828/000110465917067426/a17-26281_1ex10d2.htm" TargetMode="External"/><Relationship Id="rId34" Type="http://schemas.openxmlformats.org/officeDocument/2006/relationships/hyperlink" Target="http://www.sec.gov/Archives/edgar/data/1498828/000110465917040441/a17-15408_1ex10d1.htm" TargetMode="External"/><Relationship Id="rId35" Type="http://schemas.openxmlformats.org/officeDocument/2006/relationships/hyperlink" Target="http://www.sec.gov/Archives/edgar/data/1498828/000110465917060979/a17-22914_1ex10d1.htm" TargetMode="External"/><Relationship Id="rId36" Type="http://schemas.openxmlformats.org/officeDocument/2006/relationships/hyperlink" Target="http://www.sec.gov/Archives/edgar/data/1498828/000110465916149463/a16-19632_1ex10d3.htm" TargetMode="External"/><Relationship Id="rId37" Type="http://schemas.openxmlformats.org/officeDocument/2006/relationships/hyperlink" Target="http://www.sec.gov/Archives/edgar/data/1498828/000162828019002143/hhc-20181231ex1021.htm" TargetMode="External"/><Relationship Id="rId38" Type="http://schemas.openxmlformats.org/officeDocument/2006/relationships/hyperlink" Target="http://www.sec.gov/Archives/edgar/data/1498828/000095012311088574/d84942exv10w1.htm" TargetMode="External"/><Relationship Id="rId39" Type="http://schemas.openxmlformats.org/officeDocument/2006/relationships/hyperlink" Target="http://www.sec.gov/Archives/edgar/data/1498828/000110465914051728/a14-17094_1ex10d1.htm" TargetMode="External"/><Relationship Id="rId40" Type="http://schemas.openxmlformats.org/officeDocument/2006/relationships/hyperlink" Target="http://www.sec.gov/Archives/edgar/data/1498828/000110465918058079/a18-31058_1ex10d1.htm" TargetMode="External"/><Relationship Id="rId41" Type="http://schemas.openxmlformats.org/officeDocument/2006/relationships/hyperlink" Target="http://www.sec.gov/Archives/edgar/data/1498828/000110465912043606/a12-14617_1ex10d1.htm" TargetMode="External"/><Relationship Id="rId42" Type="http://schemas.openxmlformats.org/officeDocument/2006/relationships/hyperlink" Target="http://www.sec.gov/Archives/edgar/data/1498828/000110465914066868/a14-21046_1ex99d1.htm" TargetMode="External"/><Relationship Id="rId43" Type="http://schemas.openxmlformats.org/officeDocument/2006/relationships/hyperlink" Target="http://www.sec.gov/Archives/edgar/data/1498828/000110465917052264/a17-20201_1ex10d1.htm" TargetMode="External"/><Relationship Id="rId44" Type="http://schemas.openxmlformats.org/officeDocument/2006/relationships/hyperlink" Target="http://www.sec.gov/Archives/edgar/data/1498828/000162828019002143/hhc-20181231ex211.htm" TargetMode="External"/><Relationship Id="rId45" Type="http://schemas.openxmlformats.org/officeDocument/2006/relationships/hyperlink" Target="http://www.sec.gov/Archives/edgar/data/1498828/000162828019002143/hhc-20181231ex231.htm" TargetMode="External"/><Relationship Id="rId46" Type="http://schemas.openxmlformats.org/officeDocument/2006/relationships/hyperlink" Target="http://www.sec.gov/Archives/edgar/data/1498828/000162828019002143/hhc-20181231ex2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2020-01-09T17:37:46Z</dcterms:created>
  <dcterms:modified xsi:type="dcterms:W3CDTF">2020-01-09T17:37:46Z</dcterms:modified>
</cp:coreProperties>
</file>