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Wautier Jean-Baptiste Robert Bernard</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Howard Hughes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HHH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960" w:type="dxa"/>
            <w:vAlign w:val="bottom"/>
            <w:tcBorders>
              <w:top w:val="single" w:sz="8" w:color="EEEEEE"/>
            </w:tcBorders>
          </w:tcPr>
          <w:p>
            <w:pPr>
              <w:spacing w:after="0"/>
              <w:rPr>
                <w:sz w:val="4"/>
                <w:szCs w:val="4"/>
                <w:color w:val="auto"/>
              </w:rPr>
            </w:pPr>
          </w:p>
        </w:tc>
        <w:tc>
          <w:tcPr>
            <w:tcW w:w="38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9950 WOODLOCH FOREST DRIVE</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06/19/2026</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1100</w:t>
            </w: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9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THE</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line="213" w:lineRule="exact"/>
              <w:rPr>
                <w:sz w:val="20"/>
                <w:szCs w:val="20"/>
                <w:color w:val="auto"/>
              </w:rPr>
            </w:pPr>
            <w:r>
              <w:rPr>
                <w:rFonts w:ascii="Times New Roman" w:cs="Times New Roman" w:eastAsia="Times New Roman" w:hAnsi="Times New Roman"/>
                <w:sz w:val="14"/>
                <w:szCs w:val="14"/>
                <w:color w:val="0000FF"/>
              </w:rPr>
              <w:t xml:space="preserve">WOODLANDS </w:t>
            </w:r>
            <w:r>
              <w:rPr>
                <w:rFonts w:ascii="Times New Roman" w:cs="Times New Roman" w:eastAsia="Times New Roman" w:hAnsi="Times New Roman"/>
                <w:sz w:val="24"/>
                <w:szCs w:val="24"/>
                <w:color w:val="0000FF"/>
                <w:vertAlign w:val="superscript"/>
              </w:rPr>
              <w:t>TX</w:t>
            </w:r>
          </w:p>
        </w:tc>
        <w:tc>
          <w:tcPr>
            <w:tcW w:w="840" w:type="dxa"/>
            <w:vAlign w:val="bottom"/>
          </w:tcPr>
          <w:p>
            <w:pPr>
              <w:spacing w:after="0"/>
              <w:rPr>
                <w:sz w:val="18"/>
                <w:szCs w:val="18"/>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77380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680" w:type="dxa"/>
            <w:vAlign w:val="bottom"/>
            <w:tcBorders>
              <w:bottom w:val="single" w:sz="8" w:color="9A9A9A"/>
            </w:tcBorders>
            <w:gridSpan w:val="2"/>
          </w:tcPr>
          <w:p>
            <w:pPr>
              <w:spacing w:after="0"/>
              <w:rPr>
                <w:sz w:val="2"/>
                <w:szCs w:val="2"/>
                <w:color w:val="auto"/>
              </w:rPr>
            </w:pPr>
          </w:p>
        </w:tc>
        <w:tc>
          <w:tcPr>
            <w:tcW w:w="960" w:type="dxa"/>
            <w:vAlign w:val="bottom"/>
            <w:tcBorders>
              <w:bottom w:val="single" w:sz="8" w:color="9A9A9A"/>
            </w:tcBorders>
          </w:tcPr>
          <w:p>
            <w:pPr>
              <w:spacing w:after="0"/>
              <w:rPr>
                <w:sz w:val="2"/>
                <w:szCs w:val="2"/>
                <w:color w:val="auto"/>
              </w:rPr>
            </w:pPr>
          </w:p>
        </w:tc>
        <w:tc>
          <w:tcPr>
            <w:tcW w:w="38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2"/>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1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6"/>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9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820" w:type="dxa"/>
            <w:vAlign w:val="bottom"/>
            <w:tcBorders>
              <w:bottom w:val="single" w:sz="8" w:color="2C2C2C"/>
            </w:tcBorders>
            <w:gridSpan w:val="6"/>
          </w:tcPr>
          <w:p>
            <w:pPr>
              <w:ind w:left="900"/>
              <w:spacing w:after="0"/>
              <w:rPr>
                <w:sz w:val="20"/>
                <w:szCs w:val="20"/>
                <w:color w:val="auto"/>
              </w:rPr>
            </w:pPr>
            <w:r>
              <w:rPr>
                <w:rFonts w:ascii="Times New Roman" w:cs="Times New Roman" w:eastAsia="Times New Roman" w:hAnsi="Times New Roman"/>
                <w:sz w:val="17"/>
                <w:szCs w:val="17"/>
                <w:color w:val="0000FF"/>
              </w:rPr>
              <w:t>06/19/2026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7"/>
              </w:rPr>
              <w:t>2,169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4,263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granted to non-employee directors pursuant to the Issuer's 2025 Equity Incentive Plan. The shares vest on the earlier of the 2027 annual meeting of stockholders of Howard Hughes Holdings Inc. or June 1, 2027.</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Nathan Bryce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Jean-Baptiste</w:t>
      </w:r>
      <w:r>
        <w:rPr>
          <w:sz w:val="20"/>
          <w:szCs w:val="20"/>
          <w:color w:val="auto"/>
        </w:rPr>
        <w:tab/>
      </w:r>
      <w:r>
        <w:rPr>
          <w:rFonts w:ascii="Times New Roman" w:cs="Times New Roman" w:eastAsia="Times New Roman" w:hAnsi="Times New Roman"/>
          <w:sz w:val="17"/>
          <w:szCs w:val="17"/>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Wautier)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2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822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69840" TargetMode="External"/><Relationship Id="rId14" Type="http://schemas.openxmlformats.org/officeDocument/2006/relationships/hyperlink" Target="http://www.sec.gov/cgi-bin/browse-edgar?action=getcompany&amp;CIK=000198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2026-06-24T17:33:31Z</dcterms:created>
  <dcterms:modified xsi:type="dcterms:W3CDTF">2026-06-24T17:33:31Z</dcterms:modified>
</cp:coreProperties>
</file>