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668-1_4seq1.xml.htm"/>
      <w:bookmarkStart w:id="1" w:name="kstm262066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GRANDISSON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9950 WOODLOCH FOREST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Howard Hughes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HHH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Chairman, Vantage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68,653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71,943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granted to Mr. Grandisson pursuant to the Issuer's 2025 Equity Incentive Plan. The shares of the restricted stock are time-based and vest ratably over a five-year period in equal installments at a rate of 20% per year beginning on the one 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Bryce (Attorney-in-Fact for Marc Grandisson)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6007" TargetMode="External"/><Relationship Id="rId5" Type="http://schemas.openxmlformats.org/officeDocument/2006/relationships/hyperlink" Target="http://www.sec.gov/cgi-bin/browse-edgar?action=getcompany&amp;CIK=00019817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3365</Characters>
  <CharactersWithSpaces>3927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