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238-1_s3asr.htm"/>
        <w:bookmarkStart w:id="1" w:name="kstm2622238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Securities and Exchange Commission on August 14, 2026</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18" w:after="283"/>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4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0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10" w:before="2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340" w:before="1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4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UNDER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THE SECURITIES ACT OF 1933</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340" w:before="1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HOWARD HUGHES HOLDINGS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tbl>
      <w:tblPr>
        <w:tblW w:w="5937" w:type="dxa"/>
        <w:jc w:val="left"/>
        <w:tblInd w:w="540" w:type="dxa"/>
        <w:tblLayout w:type="fixed"/>
        <w:tblCellMar>
          <w:top w:w="0" w:type="dxa"/>
          <w:left w:w="0" w:type="dxa"/>
          <w:bottom w:w="0" w:type="dxa"/>
          <w:right w:w="0" w:type="dxa"/>
        </w:tblCellMar>
      </w:tblPr>
      <w:tblGrid>
        <w:gridCol w:w="124"/>
        <w:gridCol w:w="3061"/>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60" w:before="38" w:after="283"/>
              <w:jc w:val="center"/>
              <w:rPr/>
            </w:pPr>
            <w:r>
              <w:rPr>
                <w:spacing w:val="3"/>
              </w:rPr>
              <w:t>(State or other jurisdiction of</w:t>
            </w:r>
            <w:r>
              <w:rPr/>
              <w:t xml:space="preserve"> </w:t>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9"/>
              </w:rPr>
            </w:pPr>
            <w:r>
              <w:rPr>
                <w:b/>
                <w:spacing w:val="-4"/>
                <w:sz w:val="19"/>
              </w:rPr>
              <w:t>93-1869991</w:t>
            </w:r>
            <w:r>
              <w:rPr>
                <w:b/>
                <w:sz w:val="19"/>
              </w:rPr>
              <w:t xml:space="preserve"> </w:t>
            </w:r>
          </w:p>
          <w:p>
            <w:pPr>
              <w:pStyle w:val="TableContents"/>
              <w:bidi w:val="0"/>
              <w:spacing w:lineRule="atLeast" w:line="160" w:before="38"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8"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9950 Woodloch Forest Drive, Suite 1100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The Woodlands, Texas 77380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(281) 929-7700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lineRule="atLeast" w:line="200" w:before="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David O’Reilly</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Chief Executive Officer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Howard Hughes Holdings Inc.</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9950 Woodloch Forest Drive, Suite 1100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The Woodlands, Texas 77380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(281) 929-7700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before="13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9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Copies to:</w:t>
      </w:r>
      <w:r>
        <w:rPr>
          <w:rFonts w:ascii="Times New Roman;Times;serif" w:hAnsi="Times New Roman;Times;serif"/>
          <w:b/>
          <w:i w:val="false"/>
          <w:caps w:val="false"/>
          <w:smallCaps w:val="false"/>
          <w:color w:val="000000"/>
          <w:spacing w:val="4"/>
          <w:sz w:val="19"/>
        </w:rPr>
        <w:t xml:space="preserve"> </w:t>
      </w:r>
    </w:p>
    <w:tbl>
      <w:tblPr>
        <w:tblW w:w="6840" w:type="dxa"/>
        <w:jc w:val="left"/>
        <w:tblInd w:w="540" w:type="dxa"/>
        <w:tblLayout w:type="fixed"/>
        <w:tblCellMar>
          <w:top w:w="0" w:type="dxa"/>
          <w:left w:w="0" w:type="dxa"/>
          <w:bottom w:w="0" w:type="dxa"/>
          <w:right w:w="0" w:type="dxa"/>
        </w:tblCellMar>
      </w:tblPr>
      <w:tblGrid>
        <w:gridCol w:w="124"/>
        <w:gridCol w:w="2371"/>
        <w:gridCol w:w="109"/>
        <w:gridCol w:w="109"/>
        <w:gridCol w:w="3973"/>
        <w:gridCol w:w="154"/>
      </w:tblGrid>
      <w:tr>
        <w:trPr/>
        <w:tc>
          <w:tcPr>
            <w:tcW w:w="124" w:type="dxa"/>
            <w:tcBorders/>
            <w:vAlign w:val="center"/>
          </w:tcPr>
          <w:p>
            <w:pPr>
              <w:pStyle w:val="TableContents"/>
              <w:bidi w:val="0"/>
              <w:spacing w:before="0" w:after="283"/>
              <w:jc w:val="left"/>
              <w:rPr/>
            </w:pPr>
            <w:r>
              <w:rPr/>
              <w:t>​</w:t>
            </w:r>
          </w:p>
        </w:tc>
        <w:tc>
          <w:tcPr>
            <w:tcW w:w="2371" w:type="dxa"/>
            <w:tcBorders/>
            <w:vAlign w:val="center"/>
          </w:tcPr>
          <w:p>
            <w:pPr>
              <w:pStyle w:val="TableContents"/>
              <w:bidi w:val="0"/>
              <w:spacing w:before="0" w:after="0"/>
              <w:jc w:val="center"/>
              <w:rPr/>
            </w:pPr>
            <w:r>
              <w:rPr>
                <w:spacing w:val="-4"/>
              </w:rPr>
              <w:t>Jennifer Zepralka</w:t>
            </w:r>
            <w:r>
              <w:rPr/>
              <w:t xml:space="preserve"> </w:t>
              <w:br/>
            </w:r>
            <w:r>
              <w:rPr>
                <w:spacing w:val="-4"/>
              </w:rPr>
              <w:t>Mayer Brown LLP</w:t>
            </w:r>
            <w:r>
              <w:rPr/>
              <w:t xml:space="preserve"> </w:t>
              <w:br/>
            </w:r>
            <w:r>
              <w:rPr>
                <w:spacing w:val="-4"/>
              </w:rPr>
              <w:t>1999 K Street, NW</w:t>
            </w:r>
            <w:r>
              <w:rPr/>
              <w:t xml:space="preserve"> </w:t>
              <w:br/>
            </w:r>
            <w:r>
              <w:rPr>
                <w:spacing w:val="-4"/>
              </w:rPr>
              <w:t>Washington, DC 20006</w:t>
            </w:r>
            <w:r>
              <w:rPr/>
              <w:t xml:space="preserve"> </w:t>
              <w:br/>
            </w:r>
            <w:r>
              <w:rPr>
                <w:spacing w:val="-4"/>
              </w:rPr>
              <w:t>(202) 263-3446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73" w:type="dxa"/>
            <w:tcBorders/>
            <w:vAlign w:val="center"/>
          </w:tcPr>
          <w:p>
            <w:pPr>
              <w:pStyle w:val="TableContents"/>
              <w:bidi w:val="0"/>
              <w:spacing w:before="0" w:after="0"/>
              <w:jc w:val="center"/>
              <w:rPr/>
            </w:pPr>
            <w:r>
              <w:rPr>
                <w:spacing w:val="-4"/>
              </w:rPr>
              <w:t>Joseph Valane</w:t>
            </w:r>
            <w:r>
              <w:rPr/>
              <w:t xml:space="preserve"> </w:t>
              <w:br/>
            </w:r>
            <w:r>
              <w:rPr>
                <w:spacing w:val="-4"/>
              </w:rPr>
              <w:t>Chief Legal Officer &amp; Secretary</w:t>
            </w:r>
            <w:r>
              <w:rPr/>
              <w:t xml:space="preserve"> </w:t>
              <w:br/>
            </w:r>
            <w:r>
              <w:rPr>
                <w:spacing w:val="-4"/>
              </w:rPr>
              <w:t>Howard Hughes Holdings Inc.</w:t>
            </w:r>
            <w:r>
              <w:rPr/>
              <w:t xml:space="preserve"> </w:t>
              <w:br/>
            </w:r>
            <w:r>
              <w:rPr>
                <w:spacing w:val="-4"/>
              </w:rPr>
              <w:t>9950 Woodloch Forest Drive, Suite 1100</w:t>
            </w:r>
            <w:r>
              <w:rPr/>
              <w:t xml:space="preserve"> </w:t>
              <w:br/>
            </w:r>
            <w:r>
              <w:rPr>
                <w:spacing w:val="-4"/>
              </w:rPr>
              <w:t>The Woodlands, Texas 77380</w:t>
            </w:r>
            <w:r>
              <w:rPr/>
              <w:t xml:space="preserve"> </w:t>
              <w:br/>
            </w:r>
            <w:r>
              <w:rPr>
                <w:spacing w:val="-4"/>
              </w:rPr>
              <w:t>(281) 929-7700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40" w:after="283"/>
        <w:ind w:left="540" w:right="0" w:hanging="0"/>
        <w:jc w:val="center"/>
        <w:rPr>
          <w:rFonts w:ascii="Times New Roman;Times;serif" w:hAnsi="Times New Roman;Times;serif"/>
          <w:b/>
          <w:i w:val="false"/>
          <w:caps w:val="false"/>
          <w:smallCaps w:val="false"/>
          <w:color w:val="000000"/>
          <w:spacing w:val="-4"/>
          <w:sz w:val="19"/>
        </w:rPr>
      </w:pPr>
      <w:r>
        <w:rPr>
          <w:rFonts w:ascii="Times New Roman;Times;serif" w:hAnsi="Times New Roman;Times;serif"/>
          <w:b/>
          <w:i w:val="false"/>
          <w:caps w:val="false"/>
          <w:smallCaps w:val="false"/>
          <w:color w:val="000000"/>
          <w:spacing w:val="-4"/>
          <w:sz w:val="19"/>
        </w:rPr>
        <w:t xml:space="preserve">Approximate date of commencement of proposed sale to the public: From time to time after the effective date of this registration statement.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being offered pursuant to dividend or interest reinvestment plans, please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665" w:type="dxa"/>
        <w:jc w:val="left"/>
        <w:tblInd w:w="540" w:type="dxa"/>
        <w:tblLayout w:type="fixed"/>
        <w:tblCellMar>
          <w:top w:w="0" w:type="dxa"/>
          <w:left w:w="0" w:type="dxa"/>
          <w:bottom w:w="0" w:type="dxa"/>
          <w:right w:w="0" w:type="dxa"/>
        </w:tblCellMar>
      </w:tblPr>
      <w:tblGrid>
        <w:gridCol w:w="124"/>
        <w:gridCol w:w="2135"/>
        <w:gridCol w:w="109"/>
        <w:gridCol w:w="109"/>
        <w:gridCol w:w="1824"/>
        <w:gridCol w:w="109"/>
        <w:gridCol w:w="109"/>
        <w:gridCol w:w="2260"/>
        <w:gridCol w:w="109"/>
        <w:gridCol w:w="109"/>
        <w:gridCol w:w="2511"/>
        <w:gridCol w:w="157"/>
      </w:tblGrid>
      <w:tr>
        <w:trPr/>
        <w:tc>
          <w:tcPr>
            <w:tcW w:w="124"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spacing w:val="4"/>
              </w:rPr>
            </w:pPr>
            <w:r>
              <w:rPr>
                <w:spacing w:val="4"/>
              </w:rPr>
              <w:t xml:space="preserve">Large 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4" w:type="dxa"/>
            <w:tcBorders/>
            <w:vAlign w:val="center"/>
          </w:tcPr>
          <w:p>
            <w:pPr>
              <w:pStyle w:val="TableContents"/>
              <w:bidi w:val="0"/>
              <w:spacing w:before="0" w:after="0"/>
              <w:jc w:val="left"/>
              <w:rPr>
                <w:spacing w:val="4"/>
              </w:rPr>
            </w:pPr>
            <w:r>
              <w:rPr>
                <w:spacing w:val="4"/>
              </w:rPr>
              <w:t xml:space="preserve">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0" w:type="dxa"/>
            <w:tcBorders/>
            <w:vAlign w:val="center"/>
          </w:tcPr>
          <w:p>
            <w:pPr>
              <w:pStyle w:val="TableContents"/>
              <w:bidi w:val="0"/>
              <w:spacing w:before="0" w:after="0"/>
              <w:jc w:val="left"/>
              <w:rPr>
                <w:spacing w:val="4"/>
              </w:rPr>
            </w:pPr>
            <w:r>
              <w:rPr>
                <w:spacing w:val="4"/>
              </w:rPr>
              <w:t xml:space="preserve">Non-accelerated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1" w:type="dxa"/>
            <w:tcBorders/>
            <w:vAlign w:val="center"/>
          </w:tcPr>
          <w:p>
            <w:pPr>
              <w:pStyle w:val="TableContents"/>
              <w:bidi w:val="0"/>
              <w:spacing w:before="0" w:after="0"/>
              <w:jc w:val="left"/>
              <w:rPr/>
            </w:pPr>
            <w:r>
              <w:rPr>
                <w:spacing w:val="4"/>
              </w:rPr>
              <w:t>Smaller reporting company   ☐</w:t>
            </w:r>
            <w:r>
              <w:rPr/>
              <w:t xml:space="preserv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1" w:type="dxa"/>
            <w:tcBorders/>
            <w:vAlign w:val="center"/>
          </w:tcPr>
          <w:p>
            <w:pPr>
              <w:pStyle w:val="TableContents"/>
              <w:bidi w:val="0"/>
              <w:spacing w:before="0" w:after="0"/>
              <w:jc w:val="left"/>
              <w:rPr/>
            </w:pPr>
            <w:r>
              <w:rPr>
                <w:spacing w:val="4"/>
              </w:rPr>
              <w:t>Emerging growth company   ☐</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10" w:before="2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03"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Howard Hughes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Units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and sell debt securities, common stock, preferred stock, depositary shares, warrants, purchase contracts, and/or purchase units consisting of some or all of these securities, in any combination, together or separately, in one or more offerings, and the securities offered hereby may be convertible into or exercisable or exchangeable for other securities offered hereby.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trades on the New York Stock Exchange under the symbol “HHH.”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these securities involves significant risks. See “Risk Factors” beginning on page </w:t>
      </w:r>
      <w:hyperlink w:anchor="tRIFA">
        <w:r>
          <w:rPr>
            <w:rStyle w:val="InternetLink"/>
          </w:rPr>
          <w:t>1</w:t>
        </w:r>
      </w:hyperlink>
      <w:r>
        <w:rPr>
          <w:rFonts w:ascii="Times New Roman;Times;serif" w:hAnsi="Times New Roman;Times;serif"/>
          <w:b/>
          <w:i w:val="false"/>
          <w:caps w:val="false"/>
          <w:smallCaps w:val="false"/>
          <w:color w:val="000000"/>
          <w:spacing w:val="-4"/>
          <w:sz w:val="20"/>
        </w:rPr>
        <w:t xml:space="preserve"> of this prospectus and the “Risk Factors” section included in any accompanying prospectus supplement and in the documents incorporated by reference in this prospectus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this prospectus is August 14, 2026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RIFA">
              <w:r>
                <w:rPr>
                  <w:rStyle w:val="InternetLink"/>
                  <w:spacing w:val="4"/>
                </w:rPr>
                <w:t>1</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WYCF">
              <w:r>
                <w:rPr>
                  <w:rStyle w:val="InternetLink"/>
                  <w:spacing w:val="4"/>
                </w:rPr>
                <w:t>1</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IBR">
              <w:r>
                <w:rPr>
                  <w:rStyle w:val="InternetLink"/>
                  <w:spacing w:val="4"/>
                </w:rPr>
                <w:t>2</w:t>
              </w:r>
            </w:hyperlink>
            <w:hyperlink w:anchor="tIB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CNRF">
              <w:r>
                <w:rPr>
                  <w:rStyle w:val="InternetLink"/>
                  <w:spacing w:val="4"/>
                </w:rPr>
                <w:t>2</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HHHI">
              <w:r>
                <w:rPr>
                  <w:rStyle w:val="InternetLink"/>
                  <w:spacing w:val="4"/>
                </w:rPr>
                <w:t xml:space="preserve">HOWARD HUGHES HOLDINGS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HHHI">
              <w:r>
                <w:rPr>
                  <w:rStyle w:val="InternetLink"/>
                  <w:spacing w:val="4"/>
                </w:rPr>
                <w:t>3</w:t>
              </w:r>
            </w:hyperlink>
            <w:hyperlink w:anchor="tHHH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UOP">
              <w:r>
                <w:rPr>
                  <w:rStyle w:val="InternetLink"/>
                  <w:spacing w:val="4"/>
                </w:rPr>
                <w:t>8</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DS">
              <w:r>
                <w:rPr>
                  <w:rStyle w:val="InternetLink"/>
                  <w:spacing w:val="4"/>
                </w:rPr>
                <w:t>8</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CS">
              <w:r>
                <w:rPr>
                  <w:rStyle w:val="InternetLink"/>
                  <w:spacing w:val="4"/>
                </w:rPr>
                <w:t>16</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DS1">
              <w:r>
                <w:rPr>
                  <w:rStyle w:val="InternetLink"/>
                  <w:spacing w:val="4"/>
                </w:rPr>
                <w:t>26</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PC">
              <w:r>
                <w:rPr>
                  <w:rStyle w:val="InternetLink"/>
                  <w:spacing w:val="4"/>
                </w:rPr>
                <w:t xml:space="preserve">DESCRIPTION OF PURCHASE CONTRACTS AND PURCHASE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PC">
              <w:r>
                <w:rPr>
                  <w:rStyle w:val="InternetLink"/>
                  <w:spacing w:val="4"/>
                </w:rPr>
                <w:t>29</w:t>
              </w:r>
            </w:hyperlink>
            <w:hyperlink w:anchor="tDOP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W">
              <w:r>
                <w:rPr>
                  <w:rStyle w:val="InternetLink"/>
                  <w:spacing w:val="4"/>
                </w:rPr>
                <w:t>29</w:t>
              </w:r>
            </w:hyperlink>
            <w:hyperlink w:anchor="t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FOS">
              <w:r>
                <w:rPr>
                  <w:rStyle w:val="InternetLink"/>
                  <w:spacing w:val="4"/>
                </w:rPr>
                <w:t xml:space="preserve">FORMS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FOS">
              <w:r>
                <w:rPr>
                  <w:rStyle w:val="InternetLink"/>
                  <w:spacing w:val="4"/>
                </w:rPr>
                <w:t>33</w:t>
              </w:r>
            </w:hyperlink>
            <w:hyperlink w:anchor="tF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POD">
              <w:r>
                <w:rPr>
                  <w:rStyle w:val="InternetLink"/>
                  <w:spacing w:val="4"/>
                </w:rPr>
                <w:t>34</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LEMA">
              <w:r>
                <w:rPr>
                  <w:rStyle w:val="InternetLink"/>
                  <w:spacing w:val="4"/>
                </w:rPr>
                <w:t>36</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EXP">
              <w:r>
                <w:rPr>
                  <w:rStyle w:val="InternetLink"/>
                  <w:spacing w:val="4"/>
                </w:rPr>
                <w:t>36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w:t>
      </w:r>
      <w:bookmarkStart w:id="4" w:name="tRIFA"/>
      <w:bookmarkEnd w:id="4"/>
      <w:r>
        <w:rPr>
          <w:rFonts w:ascii="calibri;arial;sans-serif" w:hAnsi="calibri;arial;sans-serif"/>
          <w:b w:val="false"/>
          <w:i w:val="false"/>
          <w:caps w:val="false"/>
          <w:smallCaps w:val="false"/>
          <w:color w:val="000000"/>
          <w:sz w:val="16"/>
        </w:rPr>
        <w:t>​</w:t>
      </w:r>
      <w:bookmarkStart w:id="5" w:name="tWY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1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different from that contained in this prospectus, any accompanying prospectus supplement or in any related free writing prospectus filed by us with the SEC. We do not take any responsibility for, and cannot provide any assurance as to the reliability of, any information other than the information in this prospectus, any accompanying prospectus supplement or in any related free writing prospectus filed by us with the SEC.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indicates, references in this prospectus to “we,” “our,” “us” and “the Company” refer, collectively, to Howard Hughes Holdings Inc., a Delaware corporation, and its consolidated subsidiaries.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w:t>
      </w:r>
      <w:hyperlink r:id="rId2">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and our </w:t>
      </w:r>
      <w:hyperlink r:id="rId3">
        <w:r>
          <w:rPr>
            <w:rStyle w:val="InternetLink"/>
          </w:rPr>
          <w:t>Quarterly Report on Form 10-Q for the quarterly period ended June 30, 2026</w:t>
        </w:r>
      </w:hyperlink>
      <w:r>
        <w:rPr>
          <w:rFonts w:ascii="Times New Roman;Times;serif" w:hAnsi="Times New Roman;Times;serif"/>
          <w:b w:val="false"/>
          <w:i w:val="false"/>
          <w:caps w:val="false"/>
          <w:smallCaps w:val="false"/>
          <w:color w:val="000000"/>
          <w:spacing w:val="4"/>
          <w:sz w:val="20"/>
        </w:rPr>
        <w:t xml:space="preserve"> before making an investment decision pursuant to this prospectus and any accompanying prospectus supplement relating to a specific offering. 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http://www.howardhughes.com. Our website is not a part of this prospectus and is not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IBR"/>
      <w:bookmarkEnd w:id="6"/>
      <w:r>
        <w:rPr>
          <w:rFonts w:ascii="calibri;arial;sans-serif" w:hAnsi="calibri;arial;sans-serif"/>
          <w:b w:val="false"/>
          <w:i w:val="false"/>
          <w:caps w:val="false"/>
          <w:smallCaps w:val="false"/>
          <w:color w:val="000000"/>
          <w:sz w:val="16"/>
        </w:rPr>
        <w:t>​</w:t>
      </w:r>
      <w:bookmarkStart w:id="7" w:name="tC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 this prospectus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001-41779) and any future filings we make with the SEC under Sections 13(a), 13(c), 14 or 15(d) of the Securities Exchange Act of 1934, as amended (the “Exchange Act”) (in each case, other than those documents or the portions of those documents not deemed to be filed) until the offering of the securities under the registration statement is terminated or completed: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
        <w:r>
          <w:rPr>
            <w:rStyle w:val="InternetLink"/>
          </w:rPr>
          <w:t>Annual Report on Form 10-K for the fiscal year ended December 31, 2025 (filed on February 19, 2026),</w:t>
        </w:r>
      </w:hyperlink>
      <w:r>
        <w:rPr>
          <w:rFonts w:ascii="Times New Roman;Times;serif" w:hAnsi="Times New Roman;Times;serif"/>
          <w:b w:val="false"/>
          <w:i w:val="false"/>
          <w:caps w:val="false"/>
          <w:smallCaps w:val="false"/>
          <w:color w:val="000000"/>
          <w:spacing w:val="4"/>
          <w:sz w:val="20"/>
        </w:rPr>
        <w:t xml:space="preserve"> as amended by our </w:t>
      </w:r>
      <w:hyperlink r:id="rId5">
        <w:r>
          <w:rPr>
            <w:rStyle w:val="InternetLink"/>
          </w:rPr>
          <w:t>Annual Report on Form 10-K/A filed on April 29,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6">
        <w:r>
          <w:rPr>
            <w:rStyle w:val="InternetLink"/>
          </w:rPr>
          <w:t>March 31, 2026 (filed on May 7, 2026)</w:t>
        </w:r>
      </w:hyperlink>
      <w:r>
        <w:rPr>
          <w:rFonts w:ascii="Times New Roman;Times;serif" w:hAnsi="Times New Roman;Times;serif"/>
          <w:b w:val="false"/>
          <w:i w:val="false"/>
          <w:caps w:val="false"/>
          <w:smallCaps w:val="false"/>
          <w:color w:val="000000"/>
          <w:spacing w:val="4"/>
          <w:sz w:val="20"/>
        </w:rPr>
        <w:t xml:space="preserve"> and </w:t>
      </w:r>
      <w:hyperlink r:id="rId7">
        <w:r>
          <w:rPr>
            <w:rStyle w:val="InternetLink"/>
          </w:rPr>
          <w:t xml:space="preserve">June 30, 2026 (filed on August </w:t>
        </w:r>
      </w:hyperlink>
      <w:hyperlink r:id="rId8">
        <w:r>
          <w:rPr>
            <w:rStyle w:val="InternetLink"/>
          </w:rPr>
          <w:t>5,</w:t>
        </w:r>
      </w:hyperlink>
      <w:hyperlink r:id="rId9">
        <w:r>
          <w:rPr>
            <w:rStyle w:val="InternetLink"/>
          </w:rPr>
          <w:t xml:space="preserve">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10">
        <w:r>
          <w:rPr>
            <w:rStyle w:val="InternetLink"/>
          </w:rPr>
          <w:t>February 17,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21,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June 5,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 xml:space="preserve">and </w:t>
        </w:r>
      </w:hyperlink>
      <w:hyperlink r:id="rId14">
        <w:r>
          <w:rPr>
            <w:rStyle w:val="InternetLink"/>
          </w:rPr>
          <w:t>July 15,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5">
        <w:r>
          <w:rPr>
            <w:rStyle w:val="InternetLink"/>
          </w:rPr>
          <w:t>Our definitive proxy statement on Schedule 14A filed on August 15,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our common stock, Series A Preferred Stock and outstanding warrants contained in Exhibit 4.3 to this Registration Statement, filed herewith, including any amendments or reports filed for the purpose of updating such description.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or 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Howard Hughes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9950 Woodloch Forest Drive, Suite 1100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The Woodlands, Texas 77380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Phone: (281) 929-7700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and the information incorporated by reference in this prospectus include “forward-looking statements” within the meaning of Section 27A of the Securities Act of 1933, as amended (the “Securities Act”), and Section 21E of the Exchange Act. All statements contained or incorporated by reference herein regarding our company, the securities offered hereby, any offering contemplated by this prospectus, our strategy, future operations, financial position, future revenue, projected costs, prospects, plans and objectives of management, other than statements of historical facts, are forward-looking statements. The words “anticipates,” “believes,” “estimates,” “expects,” “intends,” “may,” “plans,” “projects,” “will,” “would” and similar expressions are intended to identify forward-looking statements, although not all forward-looking statements contain these identifying words. We cannot guarantee that we actually will achieve the plans, intentions or expectations expressed or implied in our forward-looking statements. There are a number of important factors that could cause actual results, levels of activity, performance or events to differ materially from those expressed or implied in the forward-looking statements we make. These important factors include the factors set forth under the caption “Risk Factors” in our </w:t>
      </w:r>
      <w:hyperlink r:id="rId16">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and our </w:t>
      </w:r>
      <w:hyperlink r:id="rId17">
        <w:r>
          <w:rPr>
            <w:rStyle w:val="InternetLink"/>
          </w:rPr>
          <w:t>Quarterly Report on Form 10-Q for the quarterly period ended June 30, 2026</w:t>
        </w:r>
      </w:hyperlink>
      <w:r>
        <w:rPr>
          <w:rFonts w:ascii="Times New Roman;Times;serif" w:hAnsi="Times New Roman;Times;serif"/>
          <w:b w:val="false"/>
          <w:i w:val="false"/>
          <w:caps w:val="false"/>
          <w:smallCaps w:val="false"/>
          <w:color w:val="000000"/>
          <w:spacing w:val="4"/>
          <w:sz w:val="20"/>
        </w:rPr>
        <w:t xml:space="preserve">, each of which is incorporated herein by reference, as may be amended, supplemented or superseded from time to time by other reports we file with the SEC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HHHI"/>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HOWARD HUGHES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that owns The Howard Hughes Corporation (“HHC”), our real estate development subsidiary, and, through our wholly owned subsidiary Howard Hughes Insurance Holdings, LLC, Vantage Group Holdings Ltd. (“Vantage”), a specialty insurance and reinsurance company. Through HHC, we operate a large-scale, mixed-use real estate platform focused on the development of master planned communities (“MPCs”), the investment in strategic real estate development opportunities, and the ownership and operation of income-producing properties.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we began executing a long-term strategy to transition from a pure-play real estate company to a diversified holding company. On May 5, 2025, the Company sold 9,000,000 newly issued shares of common stock to PS Inc. (f/k/a Pershing Square Holdco, L.P.), an affiliate of Pershing Square Capital Management, L.P. (“PSCM,” and together with PS Inc. and their respective affiliates, collectively, “Pershing Square”), for an aggregate purchase price of $900 million, with the expectation that the proceeds would be used to acquire or make investments in other operating companies. On December 17, 2025, we entered into a definitive agreement to acquire 100% of Vantage, a privately held specialty insurance and reinsurance company, for cash consideration of approximately $2.1 billion. On June 4, 2026 (the “Closing Date”), we completed the acquisition of Vantage (the “Vantage Acquisition”). In connection with the closing of the Vantage Acquisition, Pershing Square Holdings, Ltd. (“PSH”), an affiliate of PSCM, purchased 140,000 shares of our Series A Non-Voting Exchangeable Perpetual Preferred Stock (the “Series A Preferred Stock”) for aggregate proceeds of approximately $1.0 billion, pursuant to a Subscription Agreement (as defined herein), dated June 4, 2026 (on terms substantially consistent with the Equity Commitment Letter, dated December 17, 2025, between the Company and PSH, as defined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operate through three business segments: Operating Assets; MPCs; and Strategic Developments, which are organized based on the different products and services that each segment offers, and are separately managed as each requires different operating strategies or management expertise reflective of management’s operating philosophies and methods. In our MPC segment, we plan, develop, and manage small cities and large-scale, mixed-use communities in markets with strong long-term growth fundamentals. This business focuses on the horizontal development of residential land. The improved acreage is then sold to homebuilders who build and sell homes to new residents. New homeowners create demand for commercial developments, such as retail, office, multifamily, and hospitality offerings. We build these commercial properties through our Strategic Developments business at the appropriate times, which helps mitigate development risk, using the cash flow harvested from the sale of land to homebuilders. Once the commercial developments are completed, the assets transition to our Operating Assets segment, which increases recurring Net Operating Income (“NOI”), further funding our Strategic Developments. New office, retail, and other commercial amenities make our MPC residential land more appealing to buyers and increase the velocity of land sales at premiums that typically exceed the broader market. This increased demand for residential land generates more cash flow from MPCs, thus continuing the value-creation cycle.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recent timing of the Vantage Acquisition, the Company is continuing to evaluate the acquired operations, including the manner in which the Chief Operating Decision Maker (CODM) reviews financial information and allocates resources. Accordingly, the results of the acquired business have not yet been separately reflected within the Company’s segment reporting disclosures as of June 30, 2026. The Company expects to finalize its segment reporting assessment as integration activities progress. The Company’s segments or assets within such segments could change in the future as development of certain properties commences or other operational or management changes occur.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9950 Woodloch Forest Drive, Suite 1100, The Woodlands, Texas 77380, and our telephone number is (281) 929-7700.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WITH PERSHING SQUARE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agreements between the Company and PS Inc., PSCM and PSH, each of which is currently in effect. As of the date of this prospectus, Pershing Square beneficially owns approximately 46.7% of our outstanding shares of common stock, and PSH holds 140,000 shares of our Series A Preferred Stock. The summaries below are qualified in their entirety by reference to the full text of the applicable agreements, each of which has been filed with the SEC and is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related party transactions between the Company and Pershing Square require the approval of a majority of the Disinterested Directors (as defined in the Standstill Agreement described below), consistent with the terms of the Standstill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Purchase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2025, the Company entered into a Share Purchase Agreement with PS Inc. pursuant to which the Company sold to PS Inc. 9,000,000 newly issued shares of common stock at a purchase price of $100.00 per share, for an aggregate purchase price of $900,000,000. The Company agreed to reimburse the reasonable and documented expenses of PS Inc. and its affiliates incurred in connection with the negotiation and execution of the transaction documents in an amount not to exceed $25,000,000. The proceeds from the sale have been used to fund the Company’s strategy of transitioning to a diversified holding company, including the acquisition of Vantage, as described above. The Share Purchase Agreement was filed as Exhibit 10.1 to the Company’s Current Report on Form 8-K filed May 6,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2025, the Company entered into a Services Agreement with PSCM (the “Services Agreement”) pursuant to which PSCM provides investment advisory and other services to the Company in support of its diversified holding company strategy. The services provided by PSCM include: (i) investment advisory services; (ii) recommendations with respect to hedging, balance sheet optimization and capital allocation; (iii) executing transactions; (iv) assisting with business and corporate development functions; (v) making voting recommendations for the Company’s investments; (vi) assisting with and advising on fundraising; (vii) monitoring operations of the Company and its investments; (viii) providing recommendations for persons to serve as designees or deputies of the Chief Investment Officer; (ix) engaging and supervising third-party service providers; (x) making dividend payment recommendations; and (xi) such other services as may be agreed upon.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Services Agreement, the Company pays PSCM (i) a quarterly base fee of $3,750,000 and (ii) a quarterly variable fee equal to 0.375% of the excess value of the quarter-end stock price of the Company’s common stock minus the reference price of $66.1453, multiplied by the reference share count of 59,393,938 shares (which will not increase with the issuance of new shares of common stock). The base fee and the reference price are subject to annual adjustment based on the Core PCE Price Index. The base fee and the variable fee are each paid quarterly.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Services Agreement has an initial ten-year term and successive renewal terms of ten years, unless either party terminates or elects not to renew in accordance with its terms. The Company may terminate the Services Agreement with 120 days’ prior written notice (or 30 days’ prior written notice for specific causes), with the approval of two-thirds of the Disinterested Directors (as defined in the Services Agreement), upon the occurrence of specified events, including: (i) material default by PSCM causing material harm that is not cured within a 60-day cure period; (ii) fraud, misrepresentation or embezzlement by PSCM; (iii) bad faith, willful misconduct, gross negligence or criminal conduct by PSCM; (iv) bankruptcy or insolvency of PSCM; (v) a change of control of the Company (subject to payment of a make-whole fee); and (vi) with unanimous approval of the Disinterested Directors, if PS Inc. and its affiliates no longer beneficially own all of the shares purchased pursuant to the Share Purchase Agreement during the first ten years following the closing date (or 75% of such shares thereafter). The Company may also elect not to renew the Services Agreement upon unanimous approval of the Disinterested Directors and a subsequent 70% vote of shares outstanding (excluding shares held by Pershing Square and its affiliates). In the event of termination upon a change of control, the Company must pay PSCM a make-whole fee approximating the present value of the total fees (base and variable) that PSCM would have received for the remainder of the then-current term.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Services Agreement was filed as Exhibit 10.2 to the Company’s Current Report on Form 8-K filed May 6, 2025. As long as the Services Agreement remains in effect, none of the Company, Vantage or Vantage’s subsidiaries will pay any additional investment management or advisory fees to PSCM under the Investment Management Agreements described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2025, the Company entered into a Shareholder Agreement with PS Inc. and PSCM (the “Shareholder Agreement”) establishing certain governance rights and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 Nomination Rights</w:t>
      </w:r>
      <w:r>
        <w:rPr>
          <w:rFonts w:ascii="Times New Roman;Times;serif" w:hAnsi="Times New Roman;Times;serif"/>
          <w:b w:val="false"/>
          <w:i w:val="false"/>
          <w:caps w:val="false"/>
          <w:smallCaps w:val="false"/>
          <w:color w:val="000000"/>
          <w:spacing w:val="4"/>
          <w:sz w:val="20"/>
        </w:rPr>
        <w:t xml:space="preserve">.   At any meeting of stockholders at which directors are to be elected: (i) for so long as the Purchaser Group (as defined in the Shareholder Agreement, consisting of PS Inc., PSCM and their respective affiliates, including investment funds managed by one or more affiliates) beneficially owns at least 17.5% of the outstanding shares of common stock on a fully diluted basis, PS Inc. may nominate for election a number of directors equal to 25% of the total number of members of the Board (rounded up, e.g., three directors in the case of an eleven-member Board) (each such director, a “PS Board Designee”); and (ii) for so long as the Purchaser Group beneficially owns less than 17.5% but at least 10% of the outstanding shares of common stock on a fully diluted basis, PS Inc. may nominate a number of PS Board Designees equal to 10% of the total number of members of the Board (rounded up, e.g., two directors in the case of an eleven-member Board). The director nomination rights terminate if the Purchaser Group owns less than 10% of the outstanding shares of common stock on a fully diluted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Executive Chairman</w:t>
      </w:r>
      <w:r>
        <w:rPr>
          <w:rFonts w:ascii="Times New Roman;Times;serif" w:hAnsi="Times New Roman;Times;serif"/>
          <w:b w:val="false"/>
          <w:i w:val="false"/>
          <w:caps w:val="false"/>
          <w:smallCaps w:val="false"/>
          <w:color w:val="000000"/>
          <w:spacing w:val="4"/>
          <w:sz w:val="20"/>
        </w:rPr>
        <w:t xml:space="preserve">.   For so long as the Purchaser Group beneficially owns at least 17.5% of the outstanding shares of common stock on a fully diluted basis, William A. Ackman, Chief Executive Officer of PSCM, will serve as Executive Chairman of the Board, for so long as he is one of the PS Board Designees and is willing to serve. Any Board committee (except for special committees established for potential conflict of interest situations) will include proportional representation of the PS Board Designees, subject to applicable law and stock exchange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Consent Rights</w:t>
      </w:r>
      <w:r>
        <w:rPr>
          <w:rFonts w:ascii="Times New Roman;Times;serif" w:hAnsi="Times New Roman;Times;serif"/>
          <w:b w:val="false"/>
          <w:i w:val="false"/>
          <w:caps w:val="false"/>
          <w:smallCaps w:val="false"/>
          <w:color w:val="000000"/>
          <w:spacing w:val="4"/>
          <w:sz w:val="20"/>
        </w:rPr>
        <w:t xml:space="preserve">.   Effective from and after the time that PS Inc. files a Form S-1 for an initial public offering, without the prior written consent of PS Inc., the Company will not: (i) acquire or dispose of any shares, assets, business or operations that, taken as a whole, would exceed the 30% significance threshold under the total asset test set forth in Rule 3-05 of Regulation S-X; (ii) incur third-party indebtedness if, immediately following such incurrence, the Company’s Indebtedness to Consolidated Tangible Net Worth Ratio would exceed 2.5; (iii) materially change the Company’s business in a manner that would constitute a significant departure from the Company’s intended strategy of acquiring controlling interests in operating companies and becoming a diversified holding company; (iv) (provided that the Services Agreement remains in effect) cause or permit the appointment, removal or replacement of the Chief Investment Officer; or (v) (provided that the Services Agreement remains in effect) amend, modify or alter the scope of authority, duties or responsibilities of the Executive Chairman or the Chief Investment Officer. The consent rights are suspended in certain circumstances and terminate when the Purchaser Group no longer beneficially owns at least 17.5% of the outstanding shares of common stock on a fully diluted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Subscription Rights</w:t>
      </w:r>
      <w:r>
        <w:rPr>
          <w:rFonts w:ascii="Times New Roman;Times;serif" w:hAnsi="Times New Roman;Times;serif"/>
          <w:b w:val="false"/>
          <w:i w:val="false"/>
          <w:caps w:val="false"/>
          <w:smallCaps w:val="false"/>
          <w:color w:val="000000"/>
          <w:spacing w:val="4"/>
          <w:sz w:val="20"/>
        </w:rPr>
        <w:t xml:space="preserve">.   If the Company issues or sells any shares of common stock to third parties (other than shares issued pursuant to equity incentive plans for employees, directors or consultants), members of the Purchaser Group have the right to acquire shares of common stock for the same price and on the same terms as such shares are offered to such third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 Agreement was filed as Exhibit 10.3 to the Company’s Current Report on Form 8-K filed May 6,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Standstill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2025, the Company entered into a Standstill Agreement with PS Inc. (the “Standstill Agreement”) establishing certain governance, ownership and transfer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Governance Matters</w:t>
      </w:r>
      <w:r>
        <w:rPr>
          <w:rFonts w:ascii="Times New Roman;Times;serif" w:hAnsi="Times New Roman;Times;serif"/>
          <w:b w:val="false"/>
          <w:i w:val="false"/>
          <w:caps w:val="false"/>
          <w:smallCaps w:val="false"/>
          <w:color w:val="000000"/>
          <w:spacing w:val="4"/>
          <w:sz w:val="20"/>
        </w:rPr>
        <w:t xml:space="preserve">.   For so long as PS Inc. and its affiliates collectively beneficially own more than 10% of the outstanding shares of common stock on a fully diluted basis, none of PS Inc. or its affiliates will take any action inconsistent with the following corporate governance principles: (i) a majority of the Board shall be independent under applicable stock exchange standards; (ii) the Board shall have a nominating committee, a majority of which shall be independent and not affiliated with or nominated by PS Inc. or any of its affiliates; (iii) the size of the Board will be fixed at 11 members and cannot be changed without approval of 75% of the Board; and (iv) any change of control transaction involving stockholders holding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 than 10% of the outstanding shares of common stock requires approval of both a majority of the Disinterested Directors and a majority of the voting power of unaffiliated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Ownership Cap</w:t>
      </w:r>
      <w:r>
        <w:rPr>
          <w:rFonts w:ascii="Times New Roman;Times;serif" w:hAnsi="Times New Roman;Times;serif"/>
          <w:b w:val="false"/>
          <w:i w:val="false"/>
          <w:caps w:val="false"/>
          <w:smallCaps w:val="false"/>
          <w:color w:val="000000"/>
          <w:spacing w:val="4"/>
          <w:sz w:val="20"/>
        </w:rPr>
        <w:t xml:space="preserve">.   PS Inc., PSCM and their respective affiliates have agreed not to acquire beneficial or economic ownership of more than 47% of the outstanding shares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Cap</w:t>
      </w:r>
      <w:r>
        <w:rPr>
          <w:rFonts w:ascii="Times New Roman;Times;serif" w:hAnsi="Times New Roman;Times;serif"/>
          <w:b w:val="false"/>
          <w:i w:val="false"/>
          <w:caps w:val="false"/>
          <w:smallCaps w:val="false"/>
          <w:color w:val="000000"/>
          <w:spacing w:val="4"/>
          <w:sz w:val="20"/>
        </w:rPr>
        <w:t xml:space="preserve">.   For all matters being voted on at a stockholder meeting or in a consent solicitation that the Board recommends that stockholders approve, the voting power of shares held by PS Inc., PSCM and their respective affiliates is limited to 40% of the total voting power of the outstanding shares of common stock. Shares held by Pershing Square in excess of the 40% cap will be voted in proportion to the votes cast by stockholders unaffiliated with Pershing Square. This voting cap is uniformly applied across all matters except for the election of PS Board Designees, for which no voting cap applies.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Restrictions</w:t>
      </w:r>
      <w:r>
        <w:rPr>
          <w:rFonts w:ascii="Times New Roman;Times;serif" w:hAnsi="Times New Roman;Times;serif"/>
          <w:b w:val="false"/>
          <w:i w:val="false"/>
          <w:caps w:val="false"/>
          <w:smallCaps w:val="false"/>
          <w:color w:val="000000"/>
          <w:spacing w:val="4"/>
          <w:sz w:val="20"/>
        </w:rPr>
        <w:t xml:space="preserve">.   Without the approval of a majority of the Disinterested Directors, PS Inc., PSCM and their respective affiliates may not sell or otherwise transfer any shares of common stock if, immediately after giving effect to such sale or transfer, the acquiring person (other than an underwriter) would, together with its affiliates, beneficially own more than 10% of the then-outstanding shares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Related Party Transactions</w:t>
      </w:r>
      <w:r>
        <w:rPr>
          <w:rFonts w:ascii="Times New Roman;Times;serif" w:hAnsi="Times New Roman;Times;serif"/>
          <w:b w:val="false"/>
          <w:i w:val="false"/>
          <w:caps w:val="false"/>
          <w:smallCaps w:val="false"/>
          <w:color w:val="000000"/>
          <w:spacing w:val="4"/>
          <w:sz w:val="20"/>
        </w:rPr>
        <w:t xml:space="preserve">.   Without the approval of a majority of the Disinterested Directors, PS Inc., PSCM and their respective affiliates may not engage in (i) any transaction or series of related transactions, directly or indirectly, between the Company or any subsidiary, on the one hand, and any of PS Inc., PSCM or their respective affiliates, on the other hand, or (ii) any waiver of any limitation or restriction in the transaction documents with respect to the purchase or sale of common stock by Pershing Square, except for (a) transactions expressly contemplated in the transaction documents, (b) customary compensation arrangements for PS Board Designees, and (c) transactions in the ordinary course of business that do not involve payments by the Company in excess of $10,000,000.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Termination</w:t>
      </w:r>
      <w:r>
        <w:rPr>
          <w:rFonts w:ascii="Times New Roman;Times;serif" w:hAnsi="Times New Roman;Times;serif"/>
          <w:b w:val="false"/>
          <w:i w:val="false"/>
          <w:caps w:val="false"/>
          <w:smallCaps w:val="false"/>
          <w:color w:val="000000"/>
          <w:spacing w:val="4"/>
          <w:sz w:val="20"/>
        </w:rPr>
        <w:t xml:space="preserve">.   The Standstill Agreement terminates upon: (i) mutual agreement of the Company (with approval of two-thirds of the disinterested directors) and PS Inc.; (ii) PS Inc.’s beneficial ownership falling below 10% of the outstanding shares of common stock on a fully diluted basis; (iii) a change of control of the Company not involving Pershing Square; (iv) a sale of all or substantially all of the Company’s assets or acquisition by any person of 90% or more of the total voting power of the Company; or (v) notice by PS Inc. upon expiration or termination of the Services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Standstill Agreement was filed as Exhibit 10.4 to the Company’s Current Report on Form 8-K filed May 6,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 Agreement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2025, the Company entered into a Registration Rights Agreement with PS Inc., PSCM and certain other affiliates of Pershing Square (the “Common Stock RRA”) pursuant to which the Company agreed to provide PS Inc. and such affiliates with demand registration rights and customary piggyback registration rights with respect to shares of the Company’s common stock held by Pershing Square. The Common Stock RRA also requires the Company to file a shelf registration statement, upon request, to register for resale all or a portion of the shares of common stock owned by PS Inc. and such affiliates. The Common Stock RRA contains customary indemnification provisions. The Common Stock RRA was filed as Exhibit 10.5 to the Company’s Current Report on Form 8-K filed May 6,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Subscription Agreement and Series A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in connection with the closing of the Vantage Acquisition, the Company entered into a Subscription Agreement (the “Subscription Agreement”) with PSH on terms substantially consistent with the Equity Commitment Letter, dated December 17, 2025 (the “Equity Commitment Letter”). Pursuant to the Subscription Agreement, the Company issued and sold to PSH 140,000 shares of Series A Preferred Stock, for an aggregate purchase price of approximately $1.0 billion. The Series A Preferred Stock was approved by a committee of the Board comprised solely of independent and Disinterested Directors, which unanimously approved the issuance and recommended that the Board approve it, consistent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terms of the Standstill Agreement. The Board approved the issuance of the Series A Preferred Stock based on the committee’s recommendation.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Series A Preferred Stock are set forth in the Certificate of Designations filed with the Secretary of State of the State of Delaware on June 4, 2026, and filed as Exhibit 3.1 to the Company’s Current Report on Form 8-K filed June 5, 2026 (the “Certificate of Designations”). A description of the material terms of the Series A Preferred Stock, including the Call Option, exchange rights into common units of Howard Hughes Insurance Holdings, LLC (the Company’s wholly owned subsidiary and direct parent of Vantage) (“Buyer Units”), mandatory repurchase provisions, protective provisions, preemptive rights, right of first refusal and transfer restrictions, is set forth under “Description of Capital Stock — Series A Non-Voting Exchangeable Perpetual Preferred Stock”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Subscription Agreement, PSH also has a right of first refusal with respect to any proposed secondary sale of any equity securities of Howard Hughes Insurance Holdings, LLC (including any instruments convertible into such equity) to any third party, permitting PSH to purchase any such equity securities on the terms and conditions offered to such third party. In the event the exercise of the right of first refusal would cause PSH to exceed the 49% Ownership Cap (as defined in the Certificate of Designations), the underlying proposed sale requires the consent of a majority-in-interest of the holders of the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Subscription Agreement was filed as Exhibit 10.1 to the Company’s Current Report on Form 8-K filed on June 5, 2026. The Equity Commitment Letter was filed as Exhibit 10.2 to the Company’s Current Report on Form 8-K filed on December 18,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Vantage 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in connection with the Vantage Acquisition, the Company, Howard Hughes Insurance Holdings, LLC and PSH entered into a Registration Rights Agreement (the “Vantage RRA”). Pursuant to the Vantage RRA, Howard Hughes Insurance Holdings, LLC has agreed to provide PSH and certain of its affiliates with demand registration rights and customary piggyback registration rights with respect to the Buyer Units issuable upon exchange of the Preferred Stock. The demand rights under the Vantage RRA require Howard Hughes Insurance Holdings, LLC, upon request and subject to limited exceptions, to conduct an initial public offering or a direct listing of the Buyer Units concurrently with the exchange by PSH or its affiliates of the Preferred Stock for Buyer Units pursuant to the terms of the Certificate of Designations. The Vantage RRA also requires the Company to file certain shelf registration statements, upon request, to register for resale all or a part of the Buyer Units owned by PSH and such affiliates. The Vantage RRA contains customary indemnification provisions. The Vantage RRA was filed as Exhibit 10.2 to the Company’s Current Report on Form 8-K filed on June 5, 2026 (incorporated by reference to Annex D to the Subscription Agreement filed as Exhibit 10.1 thereto).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Investment Management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PSCM entered into Investment Management Agreements (collectively, the “IMAs”) with: (i) Vantage Risk Specialty Insurance Company; (ii) Vantage Risk Assurance Company; (iii) Vantage Risk Ltd.; and (iv) Vantage Group Holdings, Ltd., pursuant to which PSCM serves as investment manager of each such company’s general account and other investment portfolios. The IMAs were entered into following non-disapproval by the Delaware Department of Insurance and approval by a majority of the Disinterested Directors pursuant to the Standstill Agreement. As long as the Services Agreement remains in effect, none of the Company, Vantage or Vantage’s subsidiaries will pay any additional investment management or advisory fees to PSCM under the IMAs.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Warrant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20, 2026, the Company entered into a Warrant Agreement (the “Warrant Agreement”) with MGFT Investments LLC, a Delaware limited liability company solely owned and controlled by a trust for the benefit of certain members of Marc Grandisson’s family (the “Warrantholder”), pursuant to which the Company granted and sold to the Warrantholder a warrant (the “Director Warrant”) to acquire up to 1,131,273 shares of common stock (the “Warrant Shares”) at an exercise price of $100.00 per share, for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w:t>
      </w:r>
      <w:bookmarkStart w:id="10" w:name="tDOD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purchase price of $10,000,000 (equal to $8.84 per Warrant Share). The Director Warrant was issued in connection with the appointment of Marc Grandisson to the Board following the resignation of Ben Hakim, with Mr. Grandisson having been designated to fill such vacancy by PS Inc. pursuant to the Shareholder Agreement. A description of the material terms of the Director Warrant is set forth under “Description of Warrants — Director Warrants Issued April 20, 2026” in this prospectus. The Warrant Agreement was filed as Exhibit 4.1 to the Company’s Current Report on Form 8-K filed April 21,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any securities offered under this prospectus for general corporate purposes unless otherwise indicated in the applicable prospectus supplement. General corporate purposes may include the acquisition of properties or businesses, repayment and refinancing of debt, working capital and capital expenditures. We may temporarily invest the net proceeds in investment-grade, interest-bearing securities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Howard Hughes Holdings Inc. excluding, unless the context otherwise requires or as otherwise expressly stated, our subsidiaries. The outstanding indebtedness of our subsidiaries, including the 5.875% Senior Notes due 2032 and the 6.125% Senior Notes due 2034 issued by The Howard Hughes Corporation, is not described in this section; this section applies solely to debt securities that Howard Hughes Holdings Inc. may issue directly under the indentures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indentures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constitute our unsecured and unsubordinated general obligations and will rank pari passu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 — Subordination.”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unsecured obligations. Any secured debt or other secured obligations will be effectively senior to the debt securities to the extent of the value of the assets securing such debt or other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 any free writing prospectus will include any additional or different terms of the debt securities being offered, including the following terms: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type of the debt securities;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or subordinated debt securities, and, with respect to debt securities issued under the subordinated indenture the terms on which they are subordinated; </w:t>
      </w:r>
      <w:r>
        <mc:AlternateContent>
          <mc:Choice Requires="wps">
            <w:drawing>
              <wp:anchor behindDoc="0" distT="660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the debt securities; </w:t>
      </w:r>
      <w:r>
        <mc:AlternateContent>
          <mc:Choice Requires="wps">
            <w:drawing>
              <wp:anchor behindDoc="0" distT="6604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we will sell the debt securities; </w:t>
      </w:r>
      <w:r>
        <mc:AlternateContent>
          <mc:Choice Requires="wps">
            <w:drawing>
              <wp:anchor behindDoc="0" distT="660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$2,000 and any integral multiples of $1,000, the denominations in which any debt securities will be issued; </w:t>
      </w:r>
      <w:r>
        <mc:AlternateContent>
          <mc:Choice Requires="wps">
            <w:drawing>
              <wp:anchor behindDoc="0" distT="660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of the debt securities and the right, if any, to extend such date or dates; </w:t>
      </w:r>
      <w:r>
        <mc:AlternateContent>
          <mc:Choice Requires="wps">
            <w:drawing>
              <wp:anchor behindDoc="0" distT="660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if any, per year, at which the debt securities will bear interest, or the method of determining such rate or rates; </w:t>
      </w:r>
      <w:r>
        <mc:AlternateContent>
          <mc:Choice Requires="wps">
            <w:drawing>
              <wp:anchor behindDoc="0" distT="660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such interest will accrue, the interest payment dates on which such interest will be payable or the manner of determination of such interest payment dates and the related record dates; </w:t>
      </w:r>
      <w:r>
        <mc:AlternateContent>
          <mc:Choice Requires="wps">
            <w:drawing>
              <wp:anchor behindDoc="0" distT="660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extend the interest payment periods and the duration of that extension; </w:t>
      </w:r>
      <w:r>
        <mc:AlternateContent>
          <mc:Choice Requires="wps">
            <w:drawing>
              <wp:anchor behindDoc="0" distT="660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of paying principal and interest and the place or places where principal and interest will be payable; </w:t>
      </w:r>
      <w:r>
        <mc:AlternateContent>
          <mc:Choice Requires="wps">
            <w:drawing>
              <wp:anchor behindDoc="0" distT="660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mandatory redemption or provisions for a sinking fund, purchase fund or other analogous fund, if any; </w:t>
      </w:r>
      <w:r>
        <mc:AlternateContent>
          <mc:Choice Requires="wps">
            <w:drawing>
              <wp:anchor behindDoc="0" distT="660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dates, prices, obligations and restrictions on the debt securities; </w:t>
      </w:r>
      <w:r>
        <mc:AlternateContent>
          <mc:Choice Requires="wps">
            <w:drawing>
              <wp:anchor behindDoc="0" distT="660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the debt securities will be denominated and the currency, currencies or currency units in which principal and interest, if any, on the debt securities may be payable; </w:t>
      </w:r>
      <w:r>
        <mc:AlternateContent>
          <mc:Choice Requires="wps">
            <w:drawing>
              <wp:anchor behindDoc="0" distT="660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features of the debt securities; </w:t>
      </w:r>
      <w:r>
        <mc:AlternateContent>
          <mc:Choice Requires="wps">
            <w:drawing>
              <wp:anchor behindDoc="0" distT="660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upon what terms the debt securities may be defeased or discharged; </w:t>
      </w:r>
      <w:r>
        <mc:AlternateContent>
          <mc:Choice Requires="wps">
            <w:drawing>
              <wp:anchor behindDoc="0" distT="647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of default or covenants in addition to or in lieu of those set forth in the indenture; </w:t>
      </w:r>
      <w:r>
        <mc:AlternateContent>
          <mc:Choice Requires="wps">
            <w:drawing>
              <wp:anchor behindDoc="0" distT="647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definitive or global form or in definitive form only upon satisfaction of certain conditions; </w:t>
      </w:r>
      <w:r>
        <mc:AlternateContent>
          <mc:Choice Requires="wps">
            <w:drawing>
              <wp:anchor behindDoc="0" distT="647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series of debt securities will be guaranteed as to payment or performance; and </w:t>
      </w:r>
      <w:r>
        <mc:AlternateContent>
          <mc:Choice Requires="wps">
            <w:drawing>
              <wp:anchor behindDoc="0" distT="647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w:t>
      </w:r>
      <w:r>
        <mc:AlternateContent>
          <mc:Choice Requires="wps">
            <w:drawing>
              <wp:anchor behindDoc="0" distT="647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also describe any applicable material U.S. federal income tax consequences.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“principal” in this section with reference to the debt securities, we are also referring to “premium, if 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with those services without charge, although you may have to pay any tax or other governmental charge payable in connection with any exchange or transfer, as set forth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bear interest at a fixed rate or a floating rate. Floating rate debt securities may bear interest based on the Secured Overnight Financing Rate (SOFR), the Sterling Overnight Interbank Average Rate (SONIA), or any other benchmark rate specified in the applicable prospectus supplement. The London Interbank Offered Rate (LIBOR) has been permanently discontinued and will not serve as a benchmark rate for any series of debt securities issued under this prospectus. Debt securities bearing no interest or interest at a rate that at the time of issuance is below the prevailing market rate (original issue discount securities) may be sold at a discount below their stated principal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will be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Covenants</w:t>
      </w:r>
      <w:r>
        <w:rPr>
          <w:rFonts w:ascii="Times New Roman;Times;serif" w:hAnsi="Times New Roman;Times;serif"/>
          <w:b w:val="false"/>
          <w:i w:val="false"/>
          <w:caps w:val="false"/>
          <w:smallCaps w:val="false"/>
          <w:color w:val="000000"/>
          <w:spacing w:val="4"/>
          <w:sz w:val="20"/>
        </w:rPr>
        <w:t xml:space="preserve">.   Unless we indicate otherwise in a prospectus supplement,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Unless we indicate otherwise in a prospectus supplement,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entity, if any, is a U.S. corporation or entity (subject to certain exceptions provided for in the senior indenture);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entity assumes our obligations on the senior debt securities and under the senior indenture;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shall have occurred and be continuing; and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conditions are met.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Protection in the Event of a Change in Control</w:t>
      </w:r>
      <w:r>
        <w:rPr>
          <w:rFonts w:ascii="Times New Roman;Times;serif" w:hAnsi="Times New Roman;Times;serif"/>
          <w:b w:val="false"/>
          <w:i w:val="false"/>
          <w:caps w:val="false"/>
          <w:smallCaps w:val="false"/>
          <w:color w:val="000000"/>
          <w:spacing w:val="4"/>
          <w:sz w:val="20"/>
        </w:rPr>
        <w:t xml:space="preserve">.   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we indicate otherwise in a prospectus supplement with respect to a particular series of senior debt securities, the following are events of default under the senior indenture for any series of senior debt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any senior debt securities of such series when due and payable, if that default continues for a period of 90 days (or such other period as may be specified for such series);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or insolvency, whether or not voluntary; and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for in such series of senior debt securities as may be specified in the applicable prospectus supplement.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a prospectus supplement, the default by us under any other debt, including any other series of debt securities, is not a default under the senior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specified in the fourth bullet point above occurs with respect to us and is continuing, the entire principal amount of and accrued interest, if any, on each series of senior debt securities then outstanding shall become immediately due and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prior to a declaration of acceleration and subject to various provisions in the senior indenture, the holders of a majority in aggregate principal amount of a series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 Modification and Waiver.”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gives the trustee written notice of a continuing event of default;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such series of senior debt securities make a written request to the trustee to pursue the remedy in respect of such event of default; </w:t>
      </w:r>
      <w:r>
        <mc:AlternateContent>
          <mc:Choice Requires="wps">
            <w:drawing>
              <wp:anchor behindDoc="0" distT="0" distB="0" distL="254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requesting holder or holders offer the trustee indemnity satisfactory to the trustee against any costs, liability or expense;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comply with the request within 60 days after receipt of the request and the offer of indemnity; and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such 60-day period, the holders of a majority in aggregate principal amount of such series of senior debt securities do not give the trustee a direction that is inconsistent with the request.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however, do not apply to the right of any holder of a senior debt security to receive payment of the principal of and interest, if any,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Satisfaction and Discharge</w:t>
      </w:r>
      <w:r>
        <w:rPr>
          <w:rFonts w:ascii="Times New Roman;Times;serif" w:hAnsi="Times New Roman;Times;serif"/>
          <w:b w:val="false"/>
          <w:i w:val="false"/>
          <w:caps w:val="false"/>
          <w:smallCaps w:val="false"/>
          <w:color w:val="000000"/>
          <w:spacing w:val="4"/>
          <w:sz w:val="20"/>
        </w:rPr>
        <w:t xml:space="preserve">.   We can satisfy and discharge our obligations to holders of any series of senior debt securities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pay or cause to be paid, as and when due and payable, the principal of and any interest on all senior debt securities of such series outstanding under the senior indenture; or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senior debt securities of such series have become due and payable or will become due and payable within one year (or are to be called for redemption within one year) and we deposit in trust a combination of cash and U.S. government or U.S. government agency obligations that will generate enough cash to make interest, principal and any other payments on the debt securities of that series on their various due dates.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federal income tax law, the deposit and our legal release from the senior debt securities would be treated as a taxable event, and beneficial owners of such debt securities would generally recognize any gain or loss on such senior debt securities. Purchasers of the senior debt securities should consult their own advisers with respect to the tax consequences to them of such deposit and discharge, including the applicability and effect of tax laws other than the U.S. federal income tax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Unless the applicable prospectus supplement provides otherwise, the following discussion of legal defeasance and discharge and covenant defeasance will apply to any series of senior debt securities issued under the indentures.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We can legally release ourselves from any payment or other obligations on the senior debt securities of any series (called “legal defeasance”) if certain conditions are met,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deposit in trust for your benefit and the benefit of all other direct holders of the senior debt securities of the same series a combination of cash and U.S. government or U.S. government agency obligations that will generate enough cash to make interest, principal and any other payments on the senior debt securities of that series on their various due dates.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trustee an opinion of counsel reasonably acceptable to the trustee confirming that as a result of a change in law, the beneficial owners of the outstanding debt securities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ever did accomplish legal defeasance, as described above, you would have to rely solely on the trust deposit for repayment of the debt securities. You could not look to us for repayment in the event of any shortfall.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 Defeasance</w:t>
      </w:r>
      <w:r>
        <w:rPr>
          <w:rFonts w:ascii="Times New Roman;Times;serif" w:hAnsi="Times New Roman;Times;serif"/>
          <w:b w:val="false"/>
          <w:i w:val="false"/>
          <w:caps w:val="false"/>
          <w:smallCaps w:val="false"/>
          <w:color w:val="000000"/>
          <w:spacing w:val="4"/>
          <w:sz w:val="20"/>
        </w:rPr>
        <w:t xml:space="preserve">.   Without any change of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an opinion of counsel reasonably acceptable to the trustee confirming that the beneficial owners of the outstanding debt securities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you can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We and the trustee may amend or supplement the senior indenture or the senior debt securities without the consent of any holder: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convey, transfer, assign, mortgage or pledge any assets as security for the senior debt securities of one or more series;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 corporation, limited liability company, partnership or trust to us, and the assumption by such successor of our covenants, agreements and obligations under the senior indenture;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or add guarantors with respect to the senior debt securities of any series;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forms or terms of the senior debt securities as permitted by the senior indenture;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delete from or revise the conditions, limitations and restrictions on the authorized amount, terms, purposes of issue, authentication and delivery of any series of senior debt securities;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to the senior debt securities of any series so long as no senior debt securities of such series are outstanding;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create additional series of senior debt securities under the senior indenture; or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in any material respect.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such series voting as a separate class); provided, however, that each affected holder must consent to any modification, amendment or waiver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extends the final maturity of any senior debt securities of such series;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any senior debt securities of such series;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rate or extends the time of payment of interest on any senior debt securities of such series;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amount payable upon the redemption of any senior debt securities of such series;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currency of payment of principal of or interest on any senior debt securities of such series;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original issue discount securities payable upon acceleration of maturity or the amount provable in bankruptcy;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waives a default in the payment of principal of, or interest on, the senior debt securities;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provisions relating to the waiver of past defaults or changes or impairs the right of holders to receive payment or to institute suit for the enforcement of any payment or conversion of any senior debt securities of such series on or after the due date therefor;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or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above-stated percentage of outstanding senior debt securities of such series whose holders must consent to a supplemental indenture or to modify or amend or to waive certain provisions of or defaults under the senior indenture.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Personal Liability of Incorporators, Stockholders, Officers, Directors</w:t>
      </w:r>
      <w:r>
        <w:rPr>
          <w:rFonts w:ascii="Times New Roman;Times;serif" w:hAnsi="Times New Roman;Times;serif"/>
          <w:b w:val="false"/>
          <w:i w:val="false"/>
          <w:caps w:val="false"/>
          <w:smallCaps w:val="false"/>
          <w:color w:val="000000"/>
          <w:spacing w:val="4"/>
          <w:sz w:val="20"/>
        </w:rPr>
        <w:t xml:space="preserve">.   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Concerning the Trustee</w:t>
      </w:r>
      <w:r>
        <w:rPr>
          <w:rFonts w:ascii="Times New Roman;Times;serif" w:hAnsi="Times New Roman;Times;serif"/>
          <w:b w:val="false"/>
          <w:i w:val="false"/>
          <w:caps w:val="false"/>
          <w:smallCaps w:val="false"/>
          <w:color w:val="000000"/>
          <w:spacing w:val="4"/>
          <w:sz w:val="20"/>
        </w:rPr>
        <w:t xml:space="preserve">.   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indenture and the provisions of the Trust Indenture Act of 1939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normal banking relationships with the senior trustee in the ordinary course of business.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Unclaimed Funds</w:t>
      </w:r>
      <w:r>
        <w:rPr>
          <w:rFonts w:ascii="Times New Roman;Times;serif" w:hAnsi="Times New Roman;Times;serif"/>
          <w:b w:val="false"/>
          <w:i w:val="false"/>
          <w:caps w:val="false"/>
          <w:smallCaps w:val="false"/>
          <w:color w:val="000000"/>
          <w:spacing w:val="4"/>
          <w:sz w:val="20"/>
        </w:rPr>
        <w:t xml:space="preserve">.   All funds deposited with the trustee or any paying agent for the payment of principal, premium, interest or additional amounts in respect of the senior debt securities that remain unclaimed for two years after the date upon which such principal, premium or interest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The senior indenture and the senior debt securities will be governed by, and construed in accordance with, the internal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Terms of the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or different subordination terms may be specified in the prospectus supplement applicable to a particular series.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indebtedness of that person for money borrowed; </w:t>
      </w:r>
      <w:r>
        <mc:AlternateContent>
          <mc:Choice Requires="wps">
            <w:drawing>
              <wp:anchor behindDoc="0" distT="8255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indebtedness of that person evidenced by notes, debentures, bonds or other securities sold by that person for money; </w:t>
      </w:r>
      <w:r>
        <mc:AlternateContent>
          <mc:Choice Requires="wps">
            <w:drawing>
              <wp:anchor behindDoc="0" distT="8255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lease obligations which are capitalized on the books of that person in accordance with generally accepted accounting principles; </w:t>
      </w:r>
      <w:r>
        <mc:AlternateContent>
          <mc:Choice Requires="wps">
            <w:drawing>
              <wp:anchor behindDoc="0" distT="8255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r>
        <mc:AlternateContent>
          <mc:Choice Requires="wps">
            <w:drawing>
              <wp:anchor behindDoc="0" distT="8255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renewals, extensions or refundings of indebtedness of the kinds described in the first, second or fourth bullet point above and all renewals or extensions of leases of the kinds described in the third or fourth bullet point above; 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debt indenture. </w:t>
      </w:r>
      <w:r>
        <mc:AlternateContent>
          <mc:Choice Requires="wps">
            <w:drawing>
              <wp:anchor behindDoc="0" distT="8255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C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following description of the capital stock of Howard Hughes Holdings Inc. is a summary and does not purport to be complete. It is subject to and qualified in its entirety by reference to our (i) </w:t>
      </w:r>
      <w:hyperlink r:id="rId18">
        <w:r>
          <w:rPr>
            <w:rStyle w:val="InternetLink"/>
          </w:rPr>
          <w:t>Amended and Restated Certificate of Incorporation (the “Certificate of Incorporation”)</w:t>
        </w:r>
      </w:hyperlink>
      <w:r>
        <w:rPr>
          <w:rFonts w:ascii="Times New Roman;Times;serif" w:hAnsi="Times New Roman;Times;serif"/>
          <w:b w:val="false"/>
          <w:i w:val="false"/>
          <w:caps w:val="false"/>
          <w:smallCaps w:val="false"/>
          <w:color w:val="000000"/>
          <w:spacing w:val="4"/>
          <w:sz w:val="20"/>
        </w:rPr>
        <w:t xml:space="preserve"> and (ii) </w:t>
      </w:r>
      <w:hyperlink r:id="rId19">
        <w:r>
          <w:rPr>
            <w:rStyle w:val="InternetLink"/>
          </w:rPr>
          <w:t>Amended and Restated Bylaws (the “Bylaws”)</w:t>
        </w:r>
      </w:hyperlink>
      <w:r>
        <w:rPr>
          <w:rFonts w:ascii="Times New Roman;Times;serif" w:hAnsi="Times New Roman;Times;serif"/>
          <w:b w:val="false"/>
          <w:i w:val="false"/>
          <w:caps w:val="false"/>
          <w:smallCaps w:val="false"/>
          <w:color w:val="000000"/>
          <w:spacing w:val="4"/>
          <w:sz w:val="20"/>
        </w:rPr>
        <w:t xml:space="preserve">, each of which is incorporated by reference as an exhibit to the Current Report on Form 8-K filed on August 11,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shares consist of 150,000,000 shares of common stock, $0.01 par value per share, and 50,000,000 shares of preferred stock, $0.01 par value per share. All outstanding shares of our common stock are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common stock is entitled to one vote on all matters submitted to a vote of stockholders. Holders of common stock do not have cumulative voting rights.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preferential rights of any outstanding preferred stock, holders of our common stock will be entitled to receive ratably the dividends, if any, as may be declared from time to time by our board of directors out of funds legally available for that purpose.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liquidation, dissolution or winding up of our Company, holders of our common stock would be entitled to a ratable distribution of our assets remaining after the payment in full of liabilities and any preferential rights of any outstanding preferred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Rights and Preferences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preemptive or conversion rights or other subscription rights, and there are no redemption or sinking fund provisions applicable to the common stock. The rights, preferences and privileges of the holders of our common stock are subject to, and may be adversely affected by, the rights of the holders of shares of any series of preferred stock that we may designate and issue in the future. There are no provisions in our Certificate of Incorporation or Bylaws discriminating against a stockholder because of his or her ownership of a particular number of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140,000 shares of our Series A Preferred Stock are issued and outstanding, all of which were sold to PSH in connection with the closing of the Vantage Acquisition on the Closing Date. The terms of the Series A Preferred Stock are described in more detail below under “— Series A Non-Voting Exchangeable Perpetual Preferred Stock.” The terms of any additional series of preferred stock that we may offer will be described in the prospectus supplement relating to that series of preferred stock. The terms of any such additional series of preferred stock may differ from the terms described below. The descriptions of the preferred stock below and in any applicable prospectus supplement are summaries and do not purport to be complete.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series of our preferred stock could, depending on the terms of such series, impede the completion of a merger, tender offer or other takeover attempt. Our board of directors will make any determination to issue such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preferred stock that we offer in addition to the Series A Preferred Stock will have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stated value per share of the preferred stock and the number of shares offered; </w:t>
      </w:r>
      <w:r>
        <mc:AlternateContent>
          <mc:Choice Requires="wps">
            <w:drawing>
              <wp:anchor behindDoc="0" distT="8382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liquidation preference per share; </w:t>
      </w:r>
      <w:r>
        <mc:AlternateContent>
          <mc:Choice Requires="wps">
            <w:drawing>
              <wp:anchor behindDoc="0" distT="889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the preferred stock will be issued; </w:t>
      </w:r>
      <w:r>
        <mc:AlternateContent>
          <mc:Choice Requires="wps">
            <w:drawing>
              <wp:anchor behindDoc="0" distT="889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or method of calculation of dividends, the dates on which dividends will be payable, whether dividends will be cumulative or noncumulative and, if cumulative, the dates from which dividends will commence to accumulate; </w:t>
      </w:r>
      <w:r>
        <mc:AlternateContent>
          <mc:Choice Requires="wps">
            <w:drawing>
              <wp:anchor behindDoc="0" distT="889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w:t>
      </w:r>
      <w:r>
        <mc:AlternateContent>
          <mc:Choice Requires="wps">
            <w:drawing>
              <wp:anchor behindDoc="0" distT="889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currency of the United States, the currency or currencies including composite currencies in which the preferred stock is denominated and/or in which payments will or may be payable; </w:t>
      </w:r>
      <w:r>
        <mc:AlternateContent>
          <mc:Choice Requires="wps">
            <w:drawing>
              <wp:anchor behindDoc="0" distT="889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provisions; </w:t>
      </w:r>
      <w:r>
        <mc:AlternateContent>
          <mc:Choice Requires="wps">
            <w:drawing>
              <wp:anchor behindDoc="0" distT="889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have elected to offer depositary shares as described below under “Description of Depositary Shares”; and </w:t>
      </w:r>
      <w:r>
        <mc:AlternateContent>
          <mc:Choice Requires="wps">
            <w:drawing>
              <wp:anchor behindDoc="0" distT="889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rights, preferences, privileges, limitations and restrictions on the preferred stock. </w:t>
      </w:r>
      <w:r>
        <mc:AlternateContent>
          <mc:Choice Requires="wps">
            <w:drawing>
              <wp:anchor behindDoc="0" distT="889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w:t>
      </w:r>
      <w:r>
        <w:rPr>
          <w:rFonts w:ascii="Times New Roman;Times;serif" w:hAnsi="Times New Roman;Times;serif"/>
          <w:b w:val="false"/>
          <w:i w:val="false"/>
          <w:caps w:val="false"/>
          <w:smallCaps w:val="false"/>
          <w:color w:val="000000"/>
          <w:spacing w:val="4"/>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to our common stock and to all equity securities ranking junior to such preferred stock with respect to dividend rights or rights upon our liquidation, dissolution or winding up of our affairs; </w:t>
      </w:r>
      <w:r>
        <mc:AlternateContent>
          <mc:Choice Requires="wps">
            <w:drawing>
              <wp:anchor behindDoc="0" distT="8382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r>
        <mc:AlternateContent>
          <mc:Choice Requires="wps">
            <w:drawing>
              <wp:anchor behindDoc="0" distT="889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r>
        <mc:AlternateContent>
          <mc:Choice Requires="wps">
            <w:drawing>
              <wp:anchor behindDoc="0" distT="0" distB="0" distL="254000" distR="0" simplePos="0" locked="0" layoutInCell="1" allowOverlap="1" relativeHeight="85">
                <wp:simplePos x="0" y="0"/>
                <wp:positionH relativeFrom="column">
                  <wp:align>left</wp:align>
                </wp:positionH>
                <wp:positionV relativeFrom="line">
                  <wp:posOffset>635</wp:posOffset>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“equity securities” does not include convertible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of dividends on the preferred stock will have been set apart for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Upon any voluntary or involuntary liquidation, dissolution or winding up of our affairs,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series of preferred stock does not have a cumulative dividend, we have declared and paid or contemporaneously declare and pay or set aside funds to pay full dividends for the then current dividend period.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will not acquire any preferred stock of a series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date;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and series of preferred stock to be redeemed;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certificates for such preferred stock are to be surrendered for payment of the redemption price;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dividends on the shares to be redeemed will cease to accrue on such redemption date;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holder’s conversion rights, if any, as to such shares shall terminate; and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number of shares to be redeemed from each such holder if fewer than all the shares of any series are to be redeemed.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preferred stock will not have any voting rights, except as required by law or as indicated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The terms and conditions, if any, upon which any series of preferred stock is 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Non-Voting Exchangeable Perpetual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On the Closing Date, in connection with the Vantage Acquisition, we issued 140,000 shares of our Series A Preferred Stock, which are divided into 14 equally sized tranches titled Series A-1 through Series A-14 (each, a “Tranche”), for an aggregate purchase price of $1,000,000,000 at a purchase price of $7,142.86 per share (the “Original Issue Price”), pursuant to the terms of the Subscription Agreement between us and PSH, on terms substantially consistent with the Equity Commitment Letter between us and PSH. Each Tranche is initially held through a separate non-U.S. holding entity wholly owned by PSH (each, a “Holding Entity”). The Series A Preferred Stock was issued in reliance on the exemption from registration under the Securities Act provided by Section 4(a)(2) thereof and Rule 506(b) of Regulation D promulgated thereunder, and accordingly constitutes “restricted securities” within the meaning of Rule 144 under the Securities Act. The proceeds from the sale of the Series A Preferred Stock were used to fund a portion of the purchase price for the Vantage Acquisition and to contribute additional equity capital to Vantage for working capital and general corporate purposes following the closing of the acquisition. The terms and conditions of the Series A Preferred Stock are set forth in the Certificate of Designations filed with the Secretary of State of the State of Delaware on June 4, 2026, and filed as Exhibit 3.1 to the Company’s Current Report on Form 8-K filed June 5, 2026. The following description is a summary of the material terms of the Series A Preferred Stock and does not purport to be complete. It is subject to, and qualified in its entirety by reference to, the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The Series A Preferred Stock ranks pari passu with our common stock in all respects, including with respect to payment rights upon our liquidation, winding up or dissolution. The Series A Preferred Stock carries no liquidation preference. As a result, in the event of our liquidation, winding up or dissolution, holders of the Series A Preferred Stock will participate ratably with holders of our common stock in any distributions of our assets, on an as-exchanged basis, and will not be entitled to any preferential payment or priority over holders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Dividends on the Series A Preferred Stock, if any, may be declared at the sole discretion of a majority of the Disinterested Directors (as defined in the Standstill Agreement) of our board of directors. If declared, dividends will be paid out of the lesser of (i) our assets legally available for the payment of dividends and (ii) pro rata cash dividends that track, on an as-exchanged basis, the dividends or distributions received by us (through our wholly owned subsidiary Howard Hughes Insurance Holdings, LLC) from Vantage.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Repurchase Date (as defined below under “— Mandatory Repurchase Offer”), we have not met our obligation to repurchase any shares of Series A Preferred Stock, then, until such shares have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repurchased in full and the aggregate repurchase price has been paid, the unpurchased shares of Series A Preferred Stock shall remain outstanding and, beginning on the Repurchase Date, shall bear a dividend at a rate equal to 10% of the Original Issue Price per annum (the “Defaulted Repurchase Dividend Rate”), to the extent permitted under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Call Option</w:t>
      </w:r>
      <w:r>
        <w:rPr>
          <w:rFonts w:ascii="Times New Roman;Times;serif" w:hAnsi="Times New Roman;Times;serif"/>
          <w:b w:val="false"/>
          <w:i w:val="false"/>
          <w:caps w:val="false"/>
          <w:smallCaps w:val="false"/>
          <w:color w:val="000000"/>
          <w:spacing w:val="4"/>
          <w:sz w:val="20"/>
        </w:rPr>
        <w:t xml:space="preserve">.   During the period between 60 and 90 days following the end of each of the first seven (7) fiscal years following the Closing Date, or at such other times as may be mutually agreed by us and PSH, we shall have the right, but not the obligation, to repurchase one or more full Tranches (but not a portion of any single Tranche) of the Series A Preferred Stock (the “Call Option”). The repurchase price per share payable by us upon exercise of the Call Option shall be an amount in cash equal to the greater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Original Issue Price plus (b) interest, compounded daily, at a rate of 4% per annum of the Original Issue Price through the date of repurchase; and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 of (x) 1.5 times the book value of Howard Hughes Insurance Holdings, LLC (excluding non-controlling interests and goodwill and purchase-related intangibles attributable to the completion of the Vantage Acquisition), determined in accordance with GAAP, as of the end of the fiscal year or quarter, as applicable, immediately preceding the exercise of the Call Option, multiplied by (y) the ownership percentage of Howard Hughes Insurance Holdings, LLC represented by such share of Series A Preferred Stock (on an as-exchanged basis).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our exercise of the Call Option with respect to any Tranche, the holder(s) of the applicable Series A Preferred Stock shall elect, in consideration for the repurchase price described above, to either (i) transfer such Tranche to us or (ii) transfer to us a Holding Entity that has no assets or liabilities other than such Tranche of Series A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Mandatory Repurchase Offer</w:t>
      </w:r>
      <w:r>
        <w:rPr>
          <w:rFonts w:ascii="Times New Roman;Times;serif" w:hAnsi="Times New Roman;Times;serif"/>
          <w:b w:val="false"/>
          <w:i w:val="false"/>
          <w:caps w:val="false"/>
          <w:smallCaps w:val="false"/>
          <w:color w:val="000000"/>
          <w:spacing w:val="4"/>
          <w:sz w:val="20"/>
        </w:rPr>
        <w:t xml:space="preserve">.   We shall offer to repurchase all of the outstanding shares of Series A Preferred Stock upon the occurrence of any of the following events: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or reorganization of the Company or Howard Hughes Insurance Holdings, LLC (or any subsidiary of the Company or Howard Hughes Insurance Holdings, LLC that holds a majority of the assets or business of the Company or Howard Hughes Insurance Holdings, LLC), excluding any transactions resulting in the Company or Howard Hughes Insurance Holdings, LLC (or such subsidiary) being majority owned or controlled by PSH or its affiliates;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 of all or substantially all of the assets or business of the Company and its subsidiaries or Howard Hughes Insurance Holdings, LLC, excluding any sales or disposals to PSH or its affiliates; or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breach by us of the Certificate of Designations, subject to a customary cure period.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repurchase price for each share of Series A Preferred Stock in connection with any such mandatory repurchase offer shall be cash consideration in an amount equal to the greater of (i) the amount that such holder would have been entitled to receive under the Call Option and (ii) if the event triggering the mandatory repurchase offer is a transfer of equity in Vantage, the amount that such holder would have received in such transaction if it had exchanged its Series A Preferred Stock into Buyer Units at the applicable Exchange Ratio (as defined below). In connection with any such mandatory repurchase, the holder(s) of the applicable Series A Preferred Stock shall elect, in consideration for the repurchase price, to either (i) transfer such Series A Preferred Stock to us or (ii) transfer to us a Holding Entity that has no assets or liabilities other than such Series A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of the date on which any mandatory repurchase of the Series A Preferred Stock is required (the “Repurchase Date”), our assets legally available for repurchase are insufficient to pay the holders of the outstanding Series A Preferred Stock the full amounts to which they are entitled, such holders’ shares shall be repurchased ratably, in increments of full Tranches, to the extent permitted under applicable law, and such holders shall share ratably in any payments permitted to be made under applicable law. When additional funds of ours become available following the Repurchase Date, we shall use such funds to pay the remaining balance of the aggregate repurchase price in increments of full Tranches to the extent permitted under applicable law. If not all shares of Series A Preferred Stock are repurchased in full when required, the holders of Series A Preferred Stock shall have customary rights and remedies, including the right to prevent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declaring or paying any distributions, dividends, redemptions or otherwise making funds available in respect of securities that rank pari passu or junior to the Series A Preferred Stock, and we shall use commercially reasonable efforts to take such actions as may be necessary to generate sufficient funds to repurchase the remaining shares of Series A Preferred Stock in full, to the extent permitted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Rights; Exchange Ratio</w:t>
      </w:r>
      <w:r>
        <w:rPr>
          <w:rFonts w:ascii="Times New Roman;Times;serif" w:hAnsi="Times New Roman;Times;serif"/>
          <w:b w:val="false"/>
          <w:i w:val="false"/>
          <w:caps w:val="false"/>
          <w:smallCaps w:val="false"/>
          <w:color w:val="000000"/>
          <w:spacing w:val="4"/>
          <w:sz w:val="20"/>
        </w:rPr>
        <w:t xml:space="preserve">.   Within sixty (60) days following (i) the end of the seventh (7th) fiscal year following the Closing Date (subject to our exercise of the Call Option as described above) and (ii) the end of each subsequent fiscal year, a holder of Series A Preferred Stock may exchange, in increments of full Tranches, greater than 10% of its shares of Series A Preferred Stock (or, if less than 10% of such holder’s shares remain outstanding, such remaining shares in increments of full Tranches) into Buyer Units of Howard Hughes Insurance Holdings, LLC, at the Exchange Ratio (as defined below), without the payment of additional consideration, upon providing at least fifteen (15) days’ prior written notice to us (the “Exchange Notice”). As a condition to any such exchange, the applicable holder(s) of the Series A Preferred Stock will deliver a voting proxy agreement to PS Inc. in a form substantially similar to the Voting Proxy Agreement, dated August 5, 2025, among PS Inc. and certain of its affiliates. A holder may, in its discretion, satisfy its obligation to transfer Series A Preferred Stock by transferring a Holding Entity that holds the applicable Tranche.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Series A Preferred Stock will be exchangeable for such number of Buyer Units such that, upon exchange of all outstanding Series A Preferred Stock, the holders of Series A Preferred Stock would own, in the aggregate, a fraction of all issued and outstanding Buyer Units (the “Exchange Ratio”) equal to: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 Capital ÷ Total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Preferred Stock Capital” means the sum of (a) the aggregate purchase price of the Series A Preferred Stock (including additional purchases pursuant to the preemptive rights described below), plus (b) all dividends received by us from Vantage that the Series A Preferred Stock would have received on an as-exchanged basis, reduced (but not below zero) by all such dividends passed on to holders of Series A Preferred Stock through a dividend on the Series A Preferred Stock, in each case prior to the date of the applicable exchange, plus (c) if applicable, all dividends owed under the Defaulted Repurchase Dividend Rate, reduced (but not below zero) by all such dividends paid to holders of Series A Preferred Stock; and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Capital” means the sum of (a) the aggregate purchase price paid for Vantage in the Vantage acquisition, plus (b) any additional capital contributed to Vantage.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will be adjusted proportionately for equity splits, reverse splits, recapitalizations, unit splits and other similar events with respect to the Buyer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Ownership Cap</w:t>
      </w:r>
      <w:r>
        <w:rPr>
          <w:rFonts w:ascii="Times New Roman;Times;serif" w:hAnsi="Times New Roman;Times;serif"/>
          <w:b w:val="false"/>
          <w:i w:val="false"/>
          <w:caps w:val="false"/>
          <w:smallCaps w:val="false"/>
          <w:color w:val="000000"/>
          <w:spacing w:val="4"/>
          <w:sz w:val="20"/>
        </w:rPr>
        <w:t xml:space="preserve">.   In no event will the holders of Series A Preferred Stock be permitted to acquire, in the aggregate, more than 49% of the total Buyer Units outstanding (the “Ownership Cap”) without the approval of a majority of the Disinterested Directors. To the extent the holders of Series A Preferred Stock otherwise have the right to exchange their Series A Preferred Stock and have delivered an Exchange Notice, but are prohibited from completing all or any portion of the exchange due to the Ownership Cap, we will repurchase such excess portion of shares of Series A Preferred Stock requested to be exchanged on the same terms as the mandatory repurchase offer provisions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Protective Provisions</w:t>
      </w:r>
      <w:r>
        <w:rPr>
          <w:rFonts w:ascii="Times New Roman;Times;serif" w:hAnsi="Times New Roman;Times;serif"/>
          <w:b w:val="false"/>
          <w:i w:val="false"/>
          <w:caps w:val="false"/>
          <w:smallCaps w:val="false"/>
          <w:color w:val="000000"/>
          <w:spacing w:val="4"/>
          <w:sz w:val="20"/>
        </w:rPr>
        <w:t xml:space="preserve">.   The Series A Preferred Stock is subject to customary protective provisions. In particular, the consent of a majority-in-interest of the holders of Series A Preferred Stock will be required prior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creation (by reclassification or otherwise) or issuance of (i) any additional shares or Tranches of the Series A Preferred Stock, (ii) any new class or series of our capital stock having rights, preferences or privileges senior to the Series A Preferred Stock or (iii) any new class or series of equity interests of Howard Hughes Insurance Holdings, LLC having rights, preferences or privileges senior to the Buyer Units;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additional equity interests of Howard Hughes Insurance Holdings, LLC (including any instruments convertible into such equity interests); </w:t>
      </w:r>
      <w:r>
        <mc:AlternateContent>
          <mc:Choice Requires="wps">
            <w:drawing>
              <wp:anchor behindDoc="0" distT="0" distB="0" distL="254000" distR="0" simplePos="0" locked="0" layoutInCell="1" allowOverlap="1" relativeHeight="105">
                <wp:simplePos x="0" y="0"/>
                <wp:positionH relativeFrom="column">
                  <wp:align>left</wp:align>
                </wp:positionH>
                <wp:positionV relativeFrom="line">
                  <wp:posOffset>635</wp:posOffset>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alteration of the powers, preferences or special rights of the Series A Preferred Stock in a manner that would materially or adversely change the rights or preferences of the Series A Preferred Stock; or </w:t>
      </w:r>
      <w:r>
        <mc:AlternateContent>
          <mc:Choice Requires="wps">
            <w:drawing>
              <wp:anchor behindDoc="0" distT="8382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of our certificate of incorporation that would reasonably be expected to materially or adversely change the rights or preferences of the Series A Preferred Stock or impede the ability of the holders of the Series A Preferred Stock to realize the benefit of such rights or preferences. </w:t>
      </w:r>
      <w:r>
        <mc:AlternateContent>
          <mc:Choice Requires="wps">
            <w:drawing>
              <wp:anchor behindDoc="0" distT="8382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Closing Date, any decisions to be made by us with respect to or affecting the Series A Preferred Stock will be made by a majority of the Disinterested Directors.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Rights</w:t>
      </w:r>
      <w:r>
        <w:rPr>
          <w:rFonts w:ascii="Times New Roman;Times;serif" w:hAnsi="Times New Roman;Times;serif"/>
          <w:b w:val="false"/>
          <w:i w:val="false"/>
          <w:caps w:val="false"/>
          <w:smallCaps w:val="false"/>
          <w:color w:val="000000"/>
          <w:spacing w:val="4"/>
          <w:sz w:val="20"/>
        </w:rPr>
        <w:t xml:space="preserve">.   Following the Closing Date, in the event of any contribution of additional capital to Vantage, the holder(s) of the Series A Preferred Stock shall have the right (but not the obligation) to purchase additional shares of Series A Preferred Stock on a pro rata basis (i.e., in such amount that enables the holder(s) to retain their proportionate ownership of Vantage on an as-exchanged basis) at the same price and on the same terms as such additional capital contribution.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 of First Refusal</w:t>
      </w:r>
      <w:r>
        <w:rPr>
          <w:rFonts w:ascii="Times New Roman;Times;serif" w:hAnsi="Times New Roman;Times;serif"/>
          <w:b w:val="false"/>
          <w:i w:val="false"/>
          <w:caps w:val="false"/>
          <w:smallCaps w:val="false"/>
          <w:color w:val="000000"/>
          <w:spacing w:val="4"/>
          <w:sz w:val="20"/>
        </w:rPr>
        <w:t xml:space="preserve">.   For as long as PSH or any of its affiliates holds shares of Series A Preferred Stock or equity interests of Howard Hughes Insurance Holdings, LLC, PSH shall have a right of first refusal with respect to any proposed secondary sale of any equity securities of Howard Hughes Insurance Holdings, LLC (including any instruments convertible into such equity) to any third party. In addition, PSH shall have a consent right over any primary issuance of additional equity securities of Howard Hughes Insurance Holdings, LLC (including any instruments convertible into such equity). In the event the exercise of the right of first refusal would cause PSH to exceed the Ownership Cap, the underlying proposed sale shall require the consent of a majority-in-interest of the holders of the Series A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Registration Rights</w:t>
      </w:r>
      <w:r>
        <w:rPr>
          <w:rFonts w:ascii="Times New Roman;Times;serif" w:hAnsi="Times New Roman;Times;serif"/>
          <w:b w:val="false"/>
          <w:i w:val="false"/>
          <w:caps w:val="false"/>
          <w:smallCaps w:val="false"/>
          <w:color w:val="000000"/>
          <w:spacing w:val="4"/>
          <w:sz w:val="20"/>
        </w:rPr>
        <w:t xml:space="preserve">.   PSH will have customary registration rights pursuant to the Vantage RRA, with respect to the Buyer Units issuable upon exchange of the Series A Preferred Stock, which shall expressly include the right to require us and Howard Hughes Insurance Holdings, LLC to use reasonable best efforts to conduct an initial public offering or direct listing of the Buyer Units concurrently with any exchange of the Series A Preferred Stock for Buyer Units. The registration rights granted to PSH under the Vantage RRA are substantially similar in form to the Common Stock RRA.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Restrictions</w:t>
      </w:r>
      <w:r>
        <w:rPr>
          <w:rFonts w:ascii="Times New Roman;Times;serif" w:hAnsi="Times New Roman;Times;serif"/>
          <w:b w:val="false"/>
          <w:i w:val="false"/>
          <w:caps w:val="false"/>
          <w:smallCaps w:val="false"/>
          <w:color w:val="000000"/>
          <w:spacing w:val="4"/>
          <w:sz w:val="20"/>
        </w:rPr>
        <w:t xml:space="preserve">.   The Series A Preferred Stock may be transferred, in whole or in increments of full Tranches, subject in each case to compliance with, and the receipt of any approvals required under, applicable insurance laws, federal and state securities laws, and any other applicable laws; provided that, during the first seven (7) fiscal years following the Closing Date, transfers of Series A Preferred Stock shall be made solely to affiliates of PSH. Any transferee of Series A Preferred Stock will be subject to the terms of the Certificate of Designations and the other definitive documents governing the Series A Preferred Stock. A holder may, in its discretion, satisfy any transfer obligation by transferring a Holding Entity that holds the applicable Tranche of Series A Preferred Stock, provided that such Holding Entity has no assets or liabilities other than such Tranche of Series A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The Series A Preferred Stock is non-voting. Holders of the Series A Preferred Stock shall have no right to vote on any matter submitted to a vote of our stockholders, except to the extent required by applicable law and except as described above under “— Protective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Treatment</w:t>
      </w:r>
      <w:r>
        <w:rPr>
          <w:rFonts w:ascii="Times New Roman;Times;serif" w:hAnsi="Times New Roman;Times;serif"/>
          <w:b w:val="false"/>
          <w:i w:val="false"/>
          <w:caps w:val="false"/>
          <w:smallCaps w:val="false"/>
          <w:color w:val="000000"/>
          <w:spacing w:val="4"/>
          <w:sz w:val="20"/>
        </w:rPr>
        <w:t xml:space="preserve">.   The Series A Preferred Stock is intended to be treated as equity of the Company that is not “preferred stock” within the meaning of Section 305 of the Internal Revenue Code of 1986, as amended, for U.S. federal, state and local income tax purposes and applicable non-U.S. tax purposes. All payments and distributions (or deemed distributions) on the shares of Series A Preferred Stock (and any other securities issued on account of Series A Preferred Stock) will be subject to withholding and backup withholding of taxes to the extent required by law, subject to applicable exemptions, and any amounts withheld will be treated as received by the holders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Various Provisions of Delaware Law and our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of the Delaware General Corporation Law (the “DGCL”) and our Certificate of Incorporation and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improved terms for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Delaware Anti-Takeover Statute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if the person is an affiliate or an associate of the Company,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Corporate Governance Guidelines provide that it will grant to any stockholder a waiver of the applicability of Section 203 of the DGCL to the acquisition of up to 40% of the Company’s outstanding voting stock upon the request of such stockholder, subject to the board’s fiduciary duties and applicable law. In connection with the Shareholder Agreement and the issuance of common stock to Pershing Square and its affiliates in May 2025, our board of directors granted a waiver of the provisions of Section 203 of the DGCL to Pershing Square, PS Management GP, LLC, and William Ackman. This waiver permits Pershing Square and its managed funds to increase their collective position in our common stock beyond the 40% threshold previously established, and as of the date of this prospectus, Pershing Square may be deemed to beneficially own 27,852,064 shares of our common stock, representing approximately 46.7% of the outstanding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These provisions could limit the price that investors might be willing to pay in the future for shares of our common stock. There also may be dilution of our common stock from the exercise of outstanding warrants, which may materially adversely affect the market price and negatively impact a holder’s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Size of Board and Vacancies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the number of directors on our board of directors will be fixed exclusively by our board of directors. Pursuant to the Standstill Agreement, so long as the Purchaser Group collectively beneficially owns more than 10% of the outstanding shares of common stock on a fully diluted basis, the size of the Board shall be fixed at 11 members and shall not be changed without the approval of at least 75% of the Board. Subject to the rights of the holders of any series of preferred stock then outstanding, newly created directorships resulting from any increase in our authorized number of directors will be filled by a majority of our board of directors then in office, provided that a majority of the total number of directors is present, unless the board of directors otherwise determines that such directorships should be filled by the affirmative vote of the stockholders of record of at least a majority of the voting stock. Any vacancies in our board of directors resulting from death, resignation, retirement, disqualification, removal from office or other cause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filled generally by the majority vote of our remaining directors in office, even if less than a quorum is present. Our Certificate of Incorporation and Bylaws permit stockholders to remove a director or directors with or without cause.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Stockholder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Certificate of Incorporation and Bylaws, our board of directors may call special meetings of our stockholders. A special meeting is also required to be called by the secretary upon written request by stockholders who together hold 15% or more of the voting power of the issued and outstanding shares of the capital stock of the Company entitled to vote generally in the election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Stockholder Action by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expressly prohibit our stockholders from acting by written consent. Stockholder action must take place at an annual or a special meeting of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Requirements for Advance Notification of Stockholder Nominations and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Bylaws establish advance notice procedures with respect to stockholder proposals and nomination of candidates for election as directors other than nominations made by or at the direction of our board of directors or a committee of our board of directors. Notwithstanding the foregoing bylaw procedures, pursuant to the Shareholder Agreement, dated May 5, 2025, by and among the Company, PS Inc. (as successor to Pershing Square Holdco, L.P.) and PSCM, the Purchaser Group has contractual director nomination rights separate from and in addition to the advance notice bylaw procedures. Specifically: (i) so long as the Purchaser Group beneficially owns at least 17.5% of the outstanding shares of common stock on a fully diluted basis, PS Inc. may nominate for election to the Board a number of PS Board Designees equal to 25% of the total number of Board members as constituted after giving effect to such election, rounded up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three directors on an 11-member Board); (ii) so long as the Purchaser Group beneficially owns at least 10% but less than 17.5% of the outstanding shares of common stock on a fully diluted basis, PS Inc. may nominate a number of PS Board Designees equal to 10% of the total number of Board members as so constituted, rounded up (e.g., two directors on an 11-member Board); and (iii) if the Purchaser Group beneficially owns less than 10% of the outstanding shares of common stock on a fully diluted basis, PS Inc. shall have no right to nominate any PS Board Designees. In addition, so long as the Purchaser Group beneficially owns at least 17.5% of the outstanding shares of common stock on a fully diluted basis and Mr. Ackman serves as a PS Board Designee and is willing to serve, Mr. Ackman shall serve as Executive Chairman of the Board. The Shareholder Agreement also grants the Purchaser Group (a) subscription rights to purchase shares of common stock on the same price and terms as any future issuances to third parties and (b) consent rights, effective from and after the time PS Inc. completes an initial public offering, over certain material transactions, including significant asset acquisitions or dispositions, certain debt incurrence above a specified threshold, material changes to the Company’s business strategy, and changes to the authority of the Executive Chairman or Chief Investment Officer, in each case subject to the terms and conditions of the Shareholder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Cumulative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stockholders are denied the right to cumulate votes in the election of directors unless our Certificate of Incorporation provides otherwise. Our Certificate of Incorporation does not provide for cumulative voting.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limits the personal liability of directors for breach of fiduciary duty to the maximum extent permitted by the DGCL and provides that no director will have personal liability to us or to our stockholders for monetary damages for breach of fiduciary duty as a director. However, these provisions do not eliminate or limit the liability of any of our directors: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breach of the director’s duty of loyalty to us or our stockholders;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DS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acts or omissions not in good faith or which involve intentional misconduct or a knowing violation of law; </w:t>
      </w:r>
      <w:r>
        <mc:AlternateContent>
          <mc:Choice Requires="wps">
            <w:drawing>
              <wp:anchor behindDoc="0" distT="0" distB="0" distL="254000" distR="0" simplePos="0" locked="0" layoutInCell="1" allowOverlap="1" relativeHeight="109">
                <wp:simplePos x="0" y="0"/>
                <wp:positionH relativeFrom="column">
                  <wp:align>left</wp:align>
                </wp:positionH>
                <wp:positionV relativeFrom="line">
                  <wp:posOffset>635</wp:posOffset>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voting or assenting to unlawful payments of dividends, stock repurchases or other distributions; or </w:t>
      </w:r>
      <w:r>
        <mc:AlternateContent>
          <mc:Choice Requires="wps">
            <w:drawing>
              <wp:anchor behindDoc="0" distT="6731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transaction from which the director derived an improper personal benefit. </w:t>
      </w:r>
      <w:r>
        <mc:AlternateContent>
          <mc:Choice Requires="wps">
            <w:drawing>
              <wp:anchor behindDoc="0" distT="6731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we must indemnify our directors and officers and we must advance expenses, including attorneys’ fees, to our directors and officers in connection with legal proceedings, subject to very limited exceptions.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general liability insurance policy that covers certain liabilities of our directors and officers arising out of claims based on acts or omissions in their capacities as directors or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certain executive officers.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Trust Company, N.A. is the transfer agent and registrar for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York Stock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symbol “HHH.”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series of preferred stock underlying the depositary shares has a liquidation preference, in the event of the voluntary or involuntary liquidation, dissolution or winding up of the Company, holders of depositary shares will be entitled to receive the fraction of the liquidation preference accorded each share of the applicable series of preferred stock, as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have been redeemed; or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final distribution of the preferred stock in connection with our dissolution and such distribution has been made to all the holders of depositary shares.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PC"/>
      <w:bookmarkEnd w:id="13"/>
      <w:r>
        <w:rPr>
          <w:rFonts w:ascii="calibri;arial;sans-serif" w:hAnsi="calibri;arial;sans-serif"/>
          <w:b w:val="false"/>
          <w:i w:val="false"/>
          <w:caps w:val="false"/>
          <w:smallCaps w:val="false"/>
          <w:color w:val="000000"/>
          <w:sz w:val="16"/>
        </w:rPr>
        <w:t>​</w:t>
      </w:r>
      <w:bookmarkStart w:id="14" w:name="tDOW"/>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receipts or other persons believed to be competent to give such information and on documents believed to be genuine and to have been signed or presented by the proper party or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 AND PURCHASE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purchase contracts and purchase units, including, if applicable, collateral or depositary arrangements.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debt securities, common stock, preferred stock or depositary shares. As described in more detail below under “— Director Warrant Issued April 20, 2026,” as of the date of this prospectus, warrants to purchase 1,131,273 shares of our common stock are outstanding. We may offer additional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additional warrants we may offer: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designation and aggregate number of, and the offering price at which we will issue, the warrants;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units in which the offering price, if any, and the exercise price are payable; </w:t>
      </w:r>
      <w:r>
        <mc:AlternateContent>
          <mc:Choice Requires="wps">
            <w:drawing>
              <wp:anchor behindDoc="0" distT="660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r>
        <mc:AlternateContent>
          <mc:Choice Requires="wps">
            <w:drawing>
              <wp:anchor behindDoc="0" distT="6477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are to be sold separately or with other securities as parts of units; </w:t>
      </w:r>
      <w:r>
        <mc:AlternateContent>
          <mc:Choice Requires="wps">
            <w:drawing>
              <wp:anchor behindDoc="0" distT="6477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647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U.S. federal income tax consequences; </w:t>
      </w:r>
      <w:r>
        <mc:AlternateContent>
          <mc:Choice Requires="wps">
            <w:drawing>
              <wp:anchor behindDoc="0" distT="647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warrant agent for the warrants and of any other depositaries, execution or paying agents, transfer agents, registrars or other agents; </w:t>
      </w:r>
      <w:r>
        <mc:AlternateContent>
          <mc:Choice Requires="wps">
            <w:drawing>
              <wp:anchor behindDoc="0" distT="647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listing, if any, of the warrants or any securities purchasable upon exercise of the warrants on any securities exchange; </w:t>
      </w:r>
      <w:r>
        <mc:AlternateContent>
          <mc:Choice Requires="wps">
            <w:drawing>
              <wp:anchor behindDoc="0" distT="6477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equity securities purchasable upon exercise of the warrants; </w:t>
      </w:r>
      <w:r>
        <mc:AlternateContent>
          <mc:Choice Requires="wps">
            <w:drawing>
              <wp:anchor behindDoc="0" distT="647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currency and terms of any debt securities that may be purchased upon exercise of the warrants; </w:t>
      </w:r>
      <w:r>
        <mc:AlternateContent>
          <mc:Choice Requires="wps">
            <w:drawing>
              <wp:anchor behindDoc="0" distT="647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debt securities, common stock, preferred stock or depositary shares with which the warrants are issued and the number of warrants issued with each security; </w:t>
      </w:r>
      <w:r>
        <mc:AlternateContent>
          <mc:Choice Requires="wps">
            <w:drawing>
              <wp:anchor behindDoc="0" distT="0" distB="0" distL="254000" distR="0" simplePos="0" locked="0" layoutInCell="1" allowOverlap="1" relativeHeight="124">
                <wp:simplePos x="0" y="0"/>
                <wp:positionH relativeFrom="column">
                  <wp:align>left</wp:align>
                </wp:positionH>
                <wp:positionV relativeFrom="line">
                  <wp:posOffset>635</wp:posOffset>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from and after which any warrants issued as part of a unit and the related debt securities, common stock, preferred stock or depositary shares will be separately transferable;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the number of shares of preferred stock or the number of depositary shares purchasable upon exercise of a warrant and the price at which those shares may be purchased;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the warrants that may be exercised at any one time;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antidilution provisions of, and other provisions for changes to or adjustment in the exercise price of, the warrants, if any;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call provisions; and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or exercise of the warrants.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Warrants Issued April 20,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On April 20, 2026 (the “Warrant Effective Date”), we entered into the Warrant Agreement with the Warrantholder, with Marc Grandisson serving as the Manager of the Warrantholder. Pursuant to the Warrant Agreement, we granted and sold to the Warrantholder the Director Warrant to acquire up to 1,131,273 Warrant Shares, at an exercise price of $100.00 per Warrant Share, for a cash purchase price of $10,000,000 (equal to $8.84 per Warrant Share). The Director Warrant was issued in connection with the appointment of Marc Grandisson to our board of directors following the resignation of Ben Hakim, with Mr. Grandisson having been designated to fill such vacancy by PS Inc., pursuant to the Shareholder Agreement, dated as of May 5, 2025, by and between the Company and PS Inc. The Director Warrant was issued in reliance on the exemption from registration under the Securities Act provided by Section 4(a)(2) thereof and Regulation D promulgated thereunder, and accordingly constitutes a “restricted security” within the meaning of Rule 144 under the Securities Act. The Warrantholder is an accredited investor within the meaning of Rule 501 of Regulation D. The following description is a summary of the material terms of the Director Warrant and does not purport to be complete. It is subject to, and qualified in its entirety by reference to, the full text of the Warrant Agreement, a form of which was filed as Exhibit 4.1 to our Current Report on Form 8-K filed with the SEC on April 21,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Exercise Period</w:t>
      </w:r>
      <w:r>
        <w:rPr>
          <w:rFonts w:ascii="Times New Roman;Times;serif" w:hAnsi="Times New Roman;Times;serif"/>
          <w:b w:val="false"/>
          <w:i w:val="false"/>
          <w:caps w:val="false"/>
          <w:smallCaps w:val="false"/>
          <w:color w:val="000000"/>
          <w:spacing w:val="4"/>
          <w:sz w:val="20"/>
        </w:rPr>
        <w:t xml:space="preserve">.   The Director Warrant may only be exercised on or after April 20, 2030 (the fourth anniversary of the Warrant Effective Date) (the “Initial Exercise Date”) and on or prior to April 20, 2031 (the fifth anniversary of the Warrant Effective Date) (the “Expiration Date”), after which date the Director Warrant will terminate as to any unexercised portion. The Director Warrant may be exercised with respect to all or any portion of the Warrant Shares during the exercise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Manner of Exercise</w:t>
      </w:r>
      <w:r>
        <w:rPr>
          <w:rFonts w:ascii="Times New Roman;Times;serif" w:hAnsi="Times New Roman;Times;serif"/>
          <w:b w:val="false"/>
          <w:i w:val="false"/>
          <w:caps w:val="false"/>
          <w:smallCaps w:val="false"/>
          <w:color w:val="000000"/>
          <w:spacing w:val="4"/>
          <w:sz w:val="20"/>
        </w:rPr>
        <w:t xml:space="preserve">.   The Director Warrant may only be exercised during our normal business hours on any Business Day (any day other than a Saturday, Sunday or a day on which commercial banking institutions in New York, New York are authorized by law to be closed) by surrender of the Director Warrant to us at our office, accompanied by a duly executed notice of exercise. The Warrantholder may exercise the Director Warrant using either of the following methods: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Exercise.</w:t>
      </w:r>
      <w:r>
        <w:rPr>
          <w:rFonts w:ascii="Times New Roman;Times;serif" w:hAnsi="Times New Roman;Times;serif"/>
          <w:b w:val="false"/>
          <w:i w:val="false"/>
          <w:caps w:val="false"/>
          <w:smallCaps w:val="false"/>
          <w:color w:val="000000"/>
          <w:spacing w:val="4"/>
          <w:sz w:val="20"/>
        </w:rPr>
        <w:t xml:space="preserve">   The Warrantholder may pay the aggregate exercise price in cash (by check or wire transfer in immediately available funds) equal to the exercise price multiplied by the number of Warrant Shares being purchased.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Cashless Exercise.</w:t>
      </w:r>
      <w:r>
        <w:rPr>
          <w:rFonts w:ascii="Times New Roman;Times;serif" w:hAnsi="Times New Roman;Times;serif"/>
          <w:b w:val="false"/>
          <w:i w:val="false"/>
          <w:caps w:val="false"/>
          <w:smallCaps w:val="false"/>
          <w:color w:val="000000"/>
          <w:spacing w:val="4"/>
          <w:sz w:val="20"/>
        </w:rPr>
        <w:t xml:space="preserve">   In lieu of cash payment, the Warrantholder may elect a cashless (net value) exercise, in which case the Warrantholder will receive, without any cash payment, a number of Warrant Shares having an aggregate Market Value (as defined below) on the date of exercise equal to the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difference between the Market Value of the Warrant Shares being exercised and the aggregate exercise price therefor. “Market Value” means the average of the daily volume-weighted average trading prices of our common stock during the thirty (30) consecutive trading days ending on the trading day prior to the date of exercise.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after each exercise of the Director Warrant, and in any event within five (5) Business Days, we will issue and deliver to the Warrantholder the number of duly authorized, validly issued, fully paid and nonassessable Warrant Shares to which the Warrantholder is entitled, either by stock certificate (with appropriate restrictive legends, as applicable) or by electronic transmission through the Depository Trust Company’s Deposit/Withdrawal at Custodian (DWAC) system. In the event of a partial exercise, a new warrant document will be issued to the Warrantholder representing the remaining unexercised Warrant Shares. No fractional shares of our common stock will be issued upon exercise of the Director Warrant; in lieu thereof, we will pay cash equal to the product of the applicable fraction multiplied by the fair market value of one share of our common stock on the date of exercise, as determined in good faith by our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Limitations on Exercise; Extension</w:t>
      </w:r>
      <w:r>
        <w:rPr>
          <w:rFonts w:ascii="Times New Roman;Times;serif" w:hAnsi="Times New Roman;Times;serif"/>
          <w:b w:val="false"/>
          <w:i w:val="false"/>
          <w:caps w:val="false"/>
          <w:smallCaps w:val="false"/>
          <w:color w:val="000000"/>
          <w:spacing w:val="4"/>
          <w:sz w:val="20"/>
        </w:rPr>
        <w:t xml:space="preserve">.   If the Warrantholder is prohibited from exercising the Director Warrant, in whole or in part, due to the necessity of obtaining any required governmental or regulatory approval (including under the Hart-Scott-Rodino Antitrust Improvements Act of 1976, applicable insurance laws, or other applicable law), and the Warrantholder is using reasonable best efforts to obtain such approval, the Expiration Date will be extended on a day-for-day basis for the period during which such prohibition is in effect, provided that such extension shall not exceed eighteen (18) months. We are required to use reasonable best efforts to cooperate with the Warrantholder in connection with obtaining any such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Adjustments</w:t>
      </w:r>
      <w:r>
        <w:rPr>
          <w:rFonts w:ascii="Times New Roman;Times;serif" w:hAnsi="Times New Roman;Times;serif"/>
          <w:b w:val="false"/>
          <w:i w:val="false"/>
          <w:caps w:val="false"/>
          <w:smallCaps w:val="false"/>
          <w:color w:val="000000"/>
          <w:spacing w:val="4"/>
          <w:sz w:val="20"/>
        </w:rPr>
        <w:t xml:space="preserve">.   The number of Warrant Shares issuable upon exercise of the Director Warrant and the exercise price are subject to adjustment upon the occurrence of the following events, as determined in good faith by our board of directors: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Fundamental Transactions.</w:t>
      </w:r>
      <w:r>
        <w:rPr>
          <w:rFonts w:ascii="Times New Roman;Times;serif" w:hAnsi="Times New Roman;Times;serif"/>
          <w:b w:val="false"/>
          <w:i w:val="false"/>
          <w:caps w:val="false"/>
          <w:smallCaps w:val="false"/>
          <w:color w:val="000000"/>
          <w:spacing w:val="4"/>
          <w:sz w:val="20"/>
        </w:rPr>
        <w:t xml:space="preserve">   If we effect any merger or consolidation in which we are not the surviving entity, any sale of all or substantially all of our assets, any tender or exchange offer resulting in a third party acquiring more than 50% of our voting power, any other business combination (other than an underwritten offering, registered direct offering, private placement or other transaction with the primary purpose of financing) pursuant to which another person acquires more than 50% of our voting power, or any reclassification or compulsory share exchange of our common stock (each, a “Fundamental Transaction”), the Warrantholder will have the right, upon exercise of the Director Warrant after such Fundamental Transaction, to receive the same amount and kind of securities, cash or property that it would have been entitled to receive had it been a holder of the number of Warrant Shares issuable upon full exercise of the Director Warrant immediately prior to the Fundamental Transaction (the “Alternate Consideration”). We may not effect a Fundamental Transaction in which we are not the surviving entity, or in which the Alternate Consideration includes securities of another person, unless such other person assumes our obligations under the Director Warrant or, if the Alternate Consideration is solely cash, the Director Warrant is simultaneously settled through a cashless exercise.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Splits, Stock Dividends and Recapitalizations.</w:t>
      </w:r>
      <w:r>
        <w:rPr>
          <w:rFonts w:ascii="Times New Roman;Times;serif" w:hAnsi="Times New Roman;Times;serif"/>
          <w:b w:val="false"/>
          <w:i w:val="false"/>
          <w:caps w:val="false"/>
          <w:smallCaps w:val="false"/>
          <w:color w:val="000000"/>
          <w:spacing w:val="4"/>
          <w:sz w:val="20"/>
        </w:rPr>
        <w:t xml:space="preserve">   The exercise price and the number of Warrant Shares will be proportionally adjusted to reflect any stock dividend, stock split, reverse stock split, combination of shares, reclassification, recapitalization or similar event affecting the number of outstanding shares of our common stock. In addition, if we declare or make any dividend or other distribution to all holders of our common stock of any securities, assets, property, rights or equity interests (including shares of capital stock of any of our subsidiaries or other business units), upon any subsequent exercise of the Director Warrant, the Warrantholder will be entitled to receive, without additional payment, the amount and kind of such securities, assets, property, rights or equity interests that the Warrantholder would have received had it been the holder of record of the Warrant Shares immediately prior to the record date for such distribution.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Issuances at Below-Market Prices.</w:t>
      </w:r>
      <w:r>
        <w:rPr>
          <w:rFonts w:ascii="Times New Roman;Times;serif" w:hAnsi="Times New Roman;Times;serif"/>
          <w:b w:val="false"/>
          <w:i w:val="false"/>
          <w:caps w:val="false"/>
          <w:smallCaps w:val="false"/>
          <w:color w:val="000000"/>
          <w:spacing w:val="4"/>
          <w:sz w:val="20"/>
        </w:rPr>
        <w:t xml:space="preserve">   If we issue shares of our common stock, or securities exercisable, convertible or exchangeable into shares of our common stock, at a price per share (or having a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price per share) less than 90% of the Market Value as of the last trading day preceding the date of the pricing agreement for such issuance (other than issuances as consideration for or to fund acquisitions, in connection with employee benefit plans approved by the board, or in connection with broadly marketed public offerings conducted by us on customary market terms), the number of Warrant Shares will be increased, and the exercise price will be correspondingly reduced, pursuant to a broad-based weighted average antidilution formula.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Distributions.</w:t>
      </w:r>
      <w:r>
        <w:rPr>
          <w:rFonts w:ascii="Times New Roman;Times;serif" w:hAnsi="Times New Roman;Times;serif"/>
          <w:b w:val="false"/>
          <w:i w:val="false"/>
          <w:caps w:val="false"/>
          <w:smallCaps w:val="false"/>
          <w:color w:val="000000"/>
          <w:spacing w:val="4"/>
          <w:sz w:val="20"/>
        </w:rPr>
        <w:t xml:space="preserve">   If we set a record date for a distribution to all holders of our common stock of securities, evidences of indebtedness, assets, cash, rights or warrants (other than those covered by the adjustments described above), the exercise price will be reduced, and the number of Warrant Shares correspondingly increased, to reflect the per share value of such distribution. No adjustment will be made to the exercise price or number of Warrant Shares for cash dividends paid on our common stock.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Restrictions</w:t>
      </w:r>
      <w:r>
        <w:rPr>
          <w:rFonts w:ascii="Times New Roman;Times;serif" w:hAnsi="Times New Roman;Times;serif"/>
          <w:b w:val="false"/>
          <w:i w:val="false"/>
          <w:caps w:val="false"/>
          <w:smallCaps w:val="false"/>
          <w:color w:val="000000"/>
          <w:spacing w:val="4"/>
          <w:sz w:val="20"/>
        </w:rPr>
        <w:t xml:space="preserve">.   The Director Warrant may not be sold, pledged, hedged, assigned or transferred in any manner without our prior written consent prior to the Initial Exercise Date, except that the Warrantholder may transfer the Director Warrant without our consent to the following permitted transferees (each, a “Permitted Transferee”), so long as the transferee agrees to be subject to the terms of the Warrant Agreement: (i) the estate of Marc Grandisson; (ii) the spouse, children, grandchildren or spouses of such children or grandchildren of Marc Grandisson, or trusts for the benefit of Marc Grandisson or any such persons; (iii) any entity wholly owned by Marc Grandisson; (iv) any charitable remainder trust, charitable lead trust or donor-advised fund established by Marc Grandisson; and (v) any revocable trust of Marc Grandisson. In addition, neither the Warrantholder nor any Permitted Transferee may hedge or enter into any derivative or other transaction with respect to the Warrant Shares prior to the Initial Exercise Date. On and after the Initial Exercise Date, transfers of the Director Warrant are subject to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Voting or Other Shareholder Rights</w:t>
      </w:r>
      <w:r>
        <w:rPr>
          <w:rFonts w:ascii="Times New Roman;Times;serif" w:hAnsi="Times New Roman;Times;serif"/>
          <w:b w:val="false"/>
          <w:i w:val="false"/>
          <w:caps w:val="false"/>
          <w:smallCaps w:val="false"/>
          <w:color w:val="000000"/>
          <w:spacing w:val="4"/>
          <w:sz w:val="20"/>
        </w:rPr>
        <w:t xml:space="preserve">.   Prior to the issuance of a stock certificate or book-entry representing the Warrant Shares upon exercise, the Warrantholder has no voting rights or other rights as a stockholder of the Company by virtue of holding the Director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Registration Rights</w:t>
      </w:r>
      <w:r>
        <w:rPr>
          <w:rFonts w:ascii="Times New Roman;Times;serif" w:hAnsi="Times New Roman;Times;serif"/>
          <w:b w:val="false"/>
          <w:i w:val="false"/>
          <w:caps w:val="false"/>
          <w:smallCaps w:val="false"/>
          <w:color w:val="000000"/>
          <w:spacing w:val="4"/>
          <w:sz w:val="20"/>
        </w:rPr>
        <w:t xml:space="preserve">.   On and after the Initial Exercise Date, if we propose to register any of our equity securities under the Securities Act (other than on Form S-4 or Form S-8 or any successor form), whether for our own account or for the account of any other holder, we are required to give prompt written notice to the Warrantholder and, upon timely written request, include in such registration all Warrant Shares that the Warrantholder requests to be included, on the same terms and conditions as the other securities being sold in such registration. If the managing underwriter of any underwritten offering determines that inclusion of all such shares would materially and adversely affect the offering, the number of shares to be included in the registration will be reduced in the following order of priority: (i) first, all securities being sold by us for our own account; (ii) second, all shares requested by the Warrantholder and any other persons with similar piggyback registration rights, on a pro rata basis; and (iii) third, any other holders of our securities requesting such registration, on a pro rata basis. All registration expenses (other than underwriting discounts and commissions and transfer taxes attributable to the Warrantholder’s sale of Warrant Shares) will be borne by us. We and the Warrantholder have agreed to enter into a customary Registration Rights Agreement containing customary mutual indemnification, contribution, holdback, market standoff and cooperation provisions, substantially consistent with the Registration Rights Agreement entered into between us and PS Inc. on May 5, 2025, which upon execution and delivery will supersede the registration rights provisions of the Warrant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The Director Warrant is governed by the laws of the State of Delaware. All disputes arising from or relating to the Director Warrant are subject to the exclusive jurisdiction of the Delaware Court of Chancery (or, if the Court of Chancery does not have subject matter jurisdiction, the state courts of Delaware or the United States District Court for the District of Delaware).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FOS"/>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FORMS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depositary share, purchase contract, purchase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The Series A Preferred Stock and the Director Warrant described elsewhere in this prospectus were not issued in global or book-entry form and are not subject to the depositary arrangements described in this section.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Registered 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 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O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w:t>
      </w:r>
      <w:r>
        <mc:AlternateContent>
          <mc:Choice Requires="wps">
            <w:drawing>
              <wp:anchor behindDoc="0" distT="6858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w:t>
      </w:r>
      <w:r>
        <mc:AlternateContent>
          <mc:Choice Requires="wps">
            <w:drawing>
              <wp:anchor behindDoc="0" distT="6858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6858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or </w:t>
      </w:r>
      <w:r>
        <mc:AlternateContent>
          <mc:Choice Requires="wps">
            <w:drawing>
              <wp:anchor behindDoc="0" distT="6858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6858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6985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0" distB="0" distL="254000" distR="0" simplePos="0" locked="0" layoutInCell="1" allowOverlap="1" relativeHeight="144">
                <wp:simplePos x="0" y="0"/>
                <wp:positionH relativeFrom="column">
                  <wp:align>left</wp:align>
                </wp:positionH>
                <wp:positionV relativeFrom="line">
                  <wp:posOffset>635</wp:posOffset>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609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609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with respect to the securities of a particular series will describe the terms of the offering of the securities,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w:t>
      </w:r>
      <w:r>
        <mc:AlternateContent>
          <mc:Choice Requires="wps">
            <w:drawing>
              <wp:anchor behindDoc="0" distT="609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the agent or underwriters; </w:t>
      </w:r>
      <w:r>
        <mc:AlternateContent>
          <mc:Choice Requires="wps">
            <w:drawing>
              <wp:anchor behindDoc="0" distT="609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items constituting underwriting compensation; </w:t>
      </w:r>
      <w:r>
        <mc:AlternateContent>
          <mc:Choice Requires="wps">
            <w:drawing>
              <wp:anchor behindDoc="0" distT="609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dealers; and </w:t>
      </w:r>
      <w:r>
        <mc:AlternateContent>
          <mc:Choice Requires="wps">
            <w:drawing>
              <wp:anchor behindDoc="0" distT="609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w:t>
      </w:r>
      <w:r>
        <mc:AlternateContent>
          <mc:Choice Requires="wps">
            <w:drawing>
              <wp:anchor behindDoc="0" distT="609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609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LEMA"/>
      <w:bookmarkEnd w:id="17"/>
      <w:r>
        <w:rPr>
          <w:rFonts w:ascii="calibri;arial;sans-serif" w:hAnsi="calibri;arial;sans-serif"/>
          <w:b w:val="false"/>
          <w:i w:val="false"/>
          <w:caps w:val="false"/>
          <w:smallCaps w:val="false"/>
          <w:color w:val="000000"/>
          <w:sz w:val="16"/>
        </w:rPr>
        <w:t>​</w:t>
      </w:r>
      <w:bookmarkStart w:id="18" w:name="tEX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under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indicates otherwise, the validity of the securities in respect of which this prospectus is being delivered will be passed upon by Mayer Brown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Howard Hughes Holdings Inc. appearing in the Company’s </w:t>
      </w:r>
      <w:hyperlink r:id="rId20">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Howard Hughes Holdings Inc.’s internal control over financial reporting as of December 31, 2025, have been audited by KPMG LLP,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audited historical financial statements of Vantage Group Holdings Ltd. incorporated in this Prospectus by reference to Howard Hughes Holdings Inc.’s Current Report on </w:t>
      </w:r>
      <w:hyperlink r:id="rId21">
        <w:r>
          <w:rPr>
            <w:rStyle w:val="InternetLink"/>
          </w:rPr>
          <w:t>Form 8-K/A</w:t>
        </w:r>
      </w:hyperlink>
      <w:r>
        <w:rPr>
          <w:rFonts w:ascii="Times New Roman;Times;serif" w:hAnsi="Times New Roman;Times;serif"/>
          <w:b w:val="false"/>
          <w:i w:val="false"/>
          <w:caps w:val="false"/>
          <w:smallCaps w:val="false"/>
          <w:color w:val="000000"/>
          <w:spacing w:val="4"/>
          <w:sz w:val="20"/>
        </w:rPr>
        <w:t xml:space="preserve"> dated July 15, 2026 have been so incorporated in reliance on the report of PricewaterhouseCoopers LLP, independent auditors, given on the authority of said firm as experts in auditing and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2091"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HOWARD HUGHES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96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Debt Securities </w:t>
      </w:r>
    </w:p>
    <w:p>
      <w:pPr>
        <w:pStyle w:val="TextBody"/>
        <w:bidi w:val="0"/>
        <w:spacing w:lineRule="atLeast" w:line="320" w:before="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Common Stock </w:t>
      </w:r>
    </w:p>
    <w:p>
      <w:pPr>
        <w:pStyle w:val="TextBody"/>
        <w:bidi w:val="0"/>
        <w:spacing w:lineRule="atLeast" w:line="320" w:before="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Preferred Stock </w:t>
      </w:r>
    </w:p>
    <w:p>
      <w:pPr>
        <w:pStyle w:val="TextBody"/>
        <w:bidi w:val="0"/>
        <w:spacing w:lineRule="atLeast" w:line="320" w:before="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Depositary Shares </w:t>
      </w:r>
    </w:p>
    <w:p>
      <w:pPr>
        <w:pStyle w:val="TextBody"/>
        <w:bidi w:val="0"/>
        <w:spacing w:lineRule="atLeast" w:line="320" w:before="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Purchase Contracts </w:t>
      </w:r>
    </w:p>
    <w:p>
      <w:pPr>
        <w:pStyle w:val="TextBody"/>
        <w:bidi w:val="0"/>
        <w:spacing w:lineRule="atLeast" w:line="320" w:before="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Purchase Units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0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29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41"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14,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2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estimate (except in the case of the registration fee) of the amount of fees and expenses to be incurred in connection with the issuance and distribution of the offered securities, other than underwriting discounts and commissions. </w:t>
      </w:r>
    </w:p>
    <w:tbl>
      <w:tblPr>
        <w:tblW w:w="8135" w:type="dxa"/>
        <w:jc w:val="left"/>
        <w:tblInd w:w="1393" w:type="dxa"/>
        <w:tblLayout w:type="fixed"/>
        <w:tblCellMar>
          <w:top w:w="0" w:type="dxa"/>
          <w:left w:w="0" w:type="dxa"/>
          <w:bottom w:w="0" w:type="dxa"/>
          <w:right w:w="0" w:type="dxa"/>
        </w:tblCellMar>
      </w:tblPr>
      <w:tblGrid>
        <w:gridCol w:w="124"/>
        <w:gridCol w:w="6144"/>
        <w:gridCol w:w="109"/>
        <w:gridCol w:w="109"/>
        <w:gridCol w:w="109"/>
        <w:gridCol w:w="226"/>
        <w:gridCol w:w="105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51" w:type="dxa"/>
            <w:tcBorders/>
            <w:shd w:fill="CCEEFF" w:val="clear"/>
            <w:vAlign w:val="center"/>
          </w:tcPr>
          <w:p>
            <w:pPr>
              <w:pStyle w:val="TableContents"/>
              <w:bidi w:val="0"/>
              <w:spacing w:before="0" w:after="283"/>
              <w:jc w:val="right"/>
              <w:rPr/>
            </w:pPr>
            <w:r>
              <w:rPr/>
              <w:t>      </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4" w:type="dxa"/>
            <w:tcBorders/>
            <w:vAlign w:val="center"/>
          </w:tcPr>
          <w:p>
            <w:pPr>
              <w:pStyle w:val="TableContents"/>
              <w:bidi w:val="0"/>
              <w:spacing w:before="0" w:after="0"/>
              <w:jc w:val="left"/>
              <w:rPr>
                <w:spacing w:val="4"/>
              </w:rPr>
            </w:pPr>
            <w:r>
              <w:rPr>
                <w:spacing w:val="4"/>
              </w:rPr>
              <w:t xml:space="preserve">Printing and engraving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51" w:type="dxa"/>
            <w:tcBorders/>
            <w:vAlign w:val="center"/>
          </w:tcPr>
          <w:p>
            <w:pPr>
              <w:pStyle w:val="TableContents"/>
              <w:bidi w:val="0"/>
              <w:spacing w:before="0" w:after="0"/>
              <w:jc w:val="right"/>
              <w:rPr/>
            </w:pPr>
            <w:r>
              <w:rPr/>
              <w:t>​</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jc w:val="left"/>
              <w:rPr>
                <w:spacing w:val="4"/>
              </w:rPr>
            </w:pPr>
            <w:r>
              <w:rPr>
                <w:spacing w:val="4"/>
              </w:rPr>
              <w:t xml:space="preserve">Accounting services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51" w:type="dxa"/>
            <w:tcBorders/>
            <w:shd w:fill="CCEEFF" w:val="clear"/>
            <w:vAlign w:val="center"/>
          </w:tcPr>
          <w:p>
            <w:pPr>
              <w:pStyle w:val="TableContents"/>
              <w:bidi w:val="0"/>
              <w:spacing w:before="0" w:after="0"/>
              <w:jc w:val="right"/>
              <w:rPr/>
            </w:pPr>
            <w:r>
              <w:rPr/>
              <w:t>​</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4" w:type="dxa"/>
            <w:tcBorders/>
            <w:vAlign w:val="center"/>
          </w:tcPr>
          <w:p>
            <w:pPr>
              <w:pStyle w:val="TableContents"/>
              <w:bidi w:val="0"/>
              <w:spacing w:before="0" w:after="0"/>
              <w:jc w:val="left"/>
              <w:rPr>
                <w:spacing w:val="4"/>
              </w:rPr>
            </w:pPr>
            <w:r>
              <w:rPr>
                <w:spacing w:val="4"/>
              </w:rPr>
              <w:t xml:space="preserve">Legal fees of Registrant’s counsel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51" w:type="dxa"/>
            <w:tcBorders/>
            <w:vAlign w:val="center"/>
          </w:tcPr>
          <w:p>
            <w:pPr>
              <w:pStyle w:val="TableContents"/>
              <w:bidi w:val="0"/>
              <w:spacing w:before="0" w:after="0"/>
              <w:jc w:val="right"/>
              <w:rPr/>
            </w:pPr>
            <w:r>
              <w:rPr/>
              <w:t>​</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jc w:val="left"/>
              <w:rPr>
                <w:spacing w:val="4"/>
              </w:rPr>
            </w:pPr>
            <w:r>
              <w:rPr>
                <w:spacing w:val="4"/>
              </w:rPr>
              <w:t xml:space="preserve">Transfer agent’s, trustee’s and depositary’s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51" w:type="dxa"/>
            <w:tcBorders/>
            <w:shd w:fill="CCEEFF" w:val="clear"/>
            <w:vAlign w:val="center"/>
          </w:tcPr>
          <w:p>
            <w:pPr>
              <w:pStyle w:val="TableContents"/>
              <w:bidi w:val="0"/>
              <w:spacing w:before="0" w:after="0"/>
              <w:jc w:val="right"/>
              <w:rPr/>
            </w:pPr>
            <w:r>
              <w:rPr/>
              <w:t>​</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4" w:type="dxa"/>
            <w:tcBorders/>
            <w:vAlign w:val="center"/>
          </w:tcPr>
          <w:p>
            <w:pPr>
              <w:pStyle w:val="TableContents"/>
              <w:bidi w:val="0"/>
              <w:spacing w:before="0" w:after="0"/>
              <w:jc w:val="left"/>
              <w:rPr>
                <w:spacing w:val="4"/>
              </w:rPr>
            </w:pPr>
            <w:r>
              <w:rPr>
                <w:spacing w:val="4"/>
              </w:rPr>
              <w:t xml:space="preserve">Rating agency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51" w:type="dxa"/>
            <w:tcBorders/>
            <w:vAlign w:val="center"/>
          </w:tcPr>
          <w:p>
            <w:pPr>
              <w:pStyle w:val="TableContents"/>
              <w:bidi w:val="0"/>
              <w:spacing w:before="0" w:after="0"/>
              <w:jc w:val="right"/>
              <w:rPr/>
            </w:pPr>
            <w:r>
              <w:rPr/>
              <w:t>​</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44" w:type="dxa"/>
            <w:tcBorders/>
            <w:shd w:fill="CCEEFF" w:val="clear"/>
            <w:vAlign w:val="center"/>
          </w:tcPr>
          <w:p>
            <w:pPr>
              <w:pStyle w:val="TableContents"/>
              <w:bidi w:val="0"/>
              <w:spacing w:before="0" w:after="0"/>
              <w:jc w:val="left"/>
              <w:rPr>
                <w:spacing w:val="4"/>
              </w:rPr>
            </w:pPr>
            <w:r>
              <w:rPr>
                <w:spacing w:val="4"/>
              </w:rPr>
              <w:t xml:space="preserve">Miscellaneous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51" w:type="dxa"/>
            <w:tcBorders/>
            <w:shd w:fill="CCEEFF" w:val="clear"/>
            <w:vAlign w:val="center"/>
          </w:tcPr>
          <w:p>
            <w:pPr>
              <w:pStyle w:val="TableContents"/>
              <w:bidi w:val="0"/>
              <w:spacing w:before="0" w:after="0"/>
              <w:jc w:val="right"/>
              <w:rPr/>
            </w:pPr>
            <w:r>
              <w:rPr/>
              <w:t>​</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4"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51" w:type="dxa"/>
            <w:tcBorders/>
            <w:vAlign w:val="center"/>
          </w:tcPr>
          <w:p>
            <w:pPr>
              <w:pStyle w:val="TableContents"/>
              <w:bidi w:val="0"/>
              <w:spacing w:before="0" w:after="283"/>
              <w:jc w:val="right"/>
              <w:rPr/>
            </w:pPr>
            <w:r>
              <w:rPr/>
              <w:t>​</w:t>
            </w:r>
            <w:r>
              <w:rPr>
                <w:sz w:val="13"/>
              </w:rPr>
              <w:t>(2)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in reliance upon Rules 456(b) and 457(r). </w:t>
      </w:r>
      <w:r>
        <mc:AlternateContent>
          <mc:Choice Requires="wps">
            <w:drawing>
              <wp:anchor behindDoc="0" distT="10160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will be calculated based on the securities offered and the number of issuances and distributions of the offered securities and accordingly cannot be estimated at this time. </w:t>
      </w:r>
      <w:r>
        <mc:AlternateContent>
          <mc:Choice Requires="wps">
            <w:drawing>
              <wp:anchor behindDoc="0" distT="508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3"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 of the DGCL permits a corporation to eliminate or limit the personal liability of its directors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A 2022 amendment to Section 102(b)(7) further permits a corporation to eliminate or limit the personal liability of certain senior officers to the corporation’s stockholders for monetary damages for a breach of fiduciary duty of care in any direct action (i.e., an action brought by or in the name of the stockholder in such stockholder’s capacity as such), subject to the same exceptions applicable to directors and with the additional limitation that officer exculpation does not apply to any action brought by or in the right of the corporation (including derivative claims). The Registrant’s certificate of incorporation provides that no director shall be personally liable to the Registrant or its stockholders for monetary damages for any breach of fiduciary duty, notwithstanding any provision of law imposing such liability, except to the extent that the DGCL prohibits the elimination or limitation of liability of directors for breaches of fiduciary duty.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Registrant’s certificate of incorporation provides that it will indemnify each person who was or is a party or is threatened to be made a party to any threatened, pending or completed action, suit or proceeding, whether civil, criminal, administrative or investigative (other than an action by or in the right of the Registrant), by reason of the fact that he is or was, or has agreed to become, a director or officer of the Registrant, or is or was serving, or has agreed to serve, at the request of the Registrant, as a director, officer, partner, employee or trustee of, or in a similar capacity with, another corporation, partnership, joint venture, trust or other enterprise (including any employee benefit plan) (all such persons being referred to as an “Indemnitee”), or by reason of any action alleged to have been taken or omitted in such capacity, against all expenses (including attorneys’ fees), judgments, fines and amounts paid in settlement actually and reasonably incurred by him or on his behalf in connection with such action, suit or proceeding and any appeal therefrom, if he acted in good faith and in a manner he reasonably believed to be in, or not opposed to, the best interests of the Registrant, and, with respect to any criminal action or proceeding, had no reasonable cause to believe his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Registrant’s certificate of incorporation also provides that the Registrant will indemnify any Indemnitee who was or is a party or is threatened to be made a party to any threatened, pending or completed action or suit by or in the right of the Registrant to procure a judgment in its favor by reason of the fact that he is or was, or has agreed to become, a director or officer of the Registrant, or is or was serving, or has agreed to serve, at the request of the Registrant,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him or on his behalf in connection with such action, suit or proceeding and any appeal therefrom, if he acted in good faith and in a manner he reasonably believed to be in, or not opposed to, the best interests of the Registrant, except that no indemnification shall be made in respect of any claim, issue or matter as to which such person shall have been adjudged to be liable to the Registrant unless and only to the extent that the Court of Chancery of Delaware shall determine upon application that, despite the adjudication of such liability but in view of all the circumstances of the case, such person is fairly and reasonably entitled to indemnity for such expenses (including attorneys’ fees) which the Court of Chancery of Delaware shall deem proper.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has entered into indemnification agreements with each of its directors and certain of its officers pursuant to the Registrant’s standard form of indemnification agreement, which provides for indemnification of the indemnitee to the fullest extent permitted by applicable law, including the advancement of expenses incurred in connection with any proceeding for which the indemnitee may be entitled to indemnification. In connection with the appointment of Marc Grandisson as a director of the Registrant in April 2026, the Registrant also entered into a supplemental indemnification agreement with Mr. Grandisson pursuant to which the Registrant agreed to indemnify Mr. Grandisson against certain claims relating to his prior employment. The form of the Registrant’s standard indemnification agreement was filed as an exhibit to the Registrant’s Current Report on Form 8-K filed with the SEC on November 12, 2010, and the supplemental indemnification agreement was filed as Exhibit 4.2 to the Registrant’s Current Report on Form 8-K filed with the SEC on April 21,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maintains a directors’ and officers’ liability insurance policy that covers certain liabilities of its directors and officers arising out of claims based on acts or omissions in their capacities as directors or officers. In addition, Section 145(g) of the DGCL, as amended effective February 7, 2022, expressly authorizes a corporation to purchase and maintain such insurance through a captive insurance company directly or indirectly owned, controlled or funded by the corporation, subject to certain conduct exclusions and procedural requirements set forth in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89"/>
        <w:gridCol w:w="109"/>
        <w:gridCol w:w="109"/>
        <w:gridCol w:w="752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9"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jc w:val="center"/>
              <w:rPr>
                <w:spacing w:val="4"/>
              </w:rPr>
            </w:pPr>
            <w:r>
              <w:rPr>
                <w:spacing w:val="4"/>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2">
              <w:r>
                <w:rPr>
                  <w:rStyle w:val="InternetLink"/>
                </w:rPr>
                <w:t>Amended and Restated Certificate of Incorporation of Howard Hughes Holdings Inc. (incorporated by reference to Exhibit 3.1 to the Company’s Current Report on Form 8-K filed August 11,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3.1(a)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3">
              <w:r>
                <w:rPr>
                  <w:rStyle w:val="InternetLink"/>
                </w:rPr>
                <w:t>Certificate of Designations of Non-Voting Exchangeable Perpetual Preferred Stock of Howard Hughes Holdings Inc. (incorporated by reference to Exhibit 3.1 to the Company’s Current Report on Form 8-K filed June 5,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4">
              <w:r>
                <w:rPr>
                  <w:rStyle w:val="InternetLink"/>
                </w:rPr>
                <w:t>Amended and Restated Bylaws of Howard Hughes Holdings Inc. (incorporated by reference to Exhibit 3.2 to the Company’s Current Report on Form 8-K, filed August 11,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5">
              <w:r>
                <w:rPr>
                  <w:rStyle w:val="InternetLink"/>
                </w:rPr>
                <w:t>Indenture, dated as of February 17, 2026, by and between The Howard Hughes Corporation and Computershare Trust Company, N.A., as trustee, relating to the 5.875% Senior Notes due 2032 (incorporated by reference to Exhibit 4.1 to the Company’s Current Report on Form 8-K filed February 17,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6">
              <w:r>
                <w:rPr>
                  <w:rStyle w:val="InternetLink"/>
                </w:rPr>
                <w:t>Indenture, dated as of February 17, 2026, by and between The Howard Hughes Corporation and Computershare Trust Company, N.A., as trustee, relating to the 6.125% Senior Notes due 2034 (incorporated by reference to Exhibit 4.3 to the Company’s Current Report on Form 8-K filed February 17,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0"/>
              <w:jc w:val="left"/>
              <w:rPr/>
            </w:pPr>
            <w:hyperlink w:anchor="tm2622238d2_ex4-3.htm">
              <w:r>
                <w:rPr>
                  <w:rStyle w:val="InternetLink"/>
                  <w:spacing w:val="4"/>
                </w:rPr>
                <w:t>Description of Securities of Howard Hughes Holdings Inc.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7">
              <w:r>
                <w:rPr>
                  <w:rStyle w:val="InternetLink"/>
                </w:rPr>
                <w:t>Equity Commitment Letter, dated December 17, 2025, between Howard Hughes Holdings Inc. and Pershing Square Holdings, Ltd. (incorporated by reference to Exhibit 10.2 to the Company’s Current Report on Form 8-K filed December 18,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8">
              <w:r>
                <w:rPr>
                  <w:rStyle w:val="InternetLink"/>
                </w:rPr>
                <w:t>Subscription Agreement, dated as of June 4, 2026, by and between Howard Hughes Holdings Inc., Pershing Square Holdings, Ltd., and Howard Hughes Insurance Holdings, LLC (incorporated by reference to Exhibit 10.1 to the Company’s Current Report on Form 8-K filed June 5,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4.4(b)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"https://www.sec.gov/Archives/edgar/data/1981792/000110465926071029/tm2616794d1_ex10-1.htm" \l "annex_d"</w:instrText>
            </w:r>
            <w:r>
              <w:rPr>
                <w:rStyle w:val="InternetLink"/>
              </w:rPr>
              <w:fldChar w:fldCharType="separate"/>
            </w:r>
            <w:r>
              <w:rPr>
                <w:rStyle w:val="InternetLink"/>
              </w:rPr>
              <w:t>Registration Rights Agreement (Buyer Units), dated as of June 4, 2026, by and among Howard Hughes Holdings Inc., Pershing Square Holdings, Ltd. and Howard Hughes Insurance Holdings, LLC (incorporated by reference to Exhibit 10.2 to the Company’s Current Report on Form 8-K filed June 5, 2026)</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29">
              <w:r>
                <w:rPr>
                  <w:rStyle w:val="InternetLink"/>
                </w:rPr>
                <w:t>Warrant Agreement, dated April 20, 2026, between Howard Hughes Holdings Inc. and MGFT Investments LLC (incorporated by reference to Exhibit 4.1 to the Company’s Current Report on Form 8-K filed April 21,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pPr>
            <w:r>
              <w:rPr>
                <w:spacing w:val="4"/>
              </w:rPr>
              <w:t>4.6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0"/>
              <w:jc w:val="left"/>
              <w:rPr/>
            </w:pPr>
            <w:hyperlink r:id="rId30">
              <w:r>
                <w:rPr>
                  <w:rStyle w:val="InternetLink"/>
                  <w:spacing w:val="4"/>
                </w:rPr>
                <w:t>Form of Senior Indenture (incorporated by reference to Exhibit 4.3 to the Company’s Registration Statement on Form S-3 filed August 11,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pPr>
            <w:r>
              <w:rPr>
                <w:spacing w:val="4"/>
              </w:rPr>
              <w:t>4.7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0"/>
              <w:jc w:val="left"/>
              <w:rPr/>
            </w:pPr>
            <w:hyperlink r:id="rId31">
              <w:r>
                <w:rPr>
                  <w:rStyle w:val="InternetLink"/>
                  <w:spacing w:val="4"/>
                </w:rPr>
                <w:t>Form of Subordinated Indenture (incorporated by reference to Exhibit 4.4 to the Company’s Registration Statement on Form S-3 filed August 11,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Senior Note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Subordinated Note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Deposit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Purchase Contract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4.12*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Unit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ind w:left="100" w:right="0" w:hanging="0"/>
              <w:jc w:val="center"/>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0"/>
              <w:jc w:val="left"/>
              <w:rPr/>
            </w:pPr>
            <w:hyperlink w:anchor="tm2622238d2_ex5-1.htm">
              <w:r>
                <w:rPr>
                  <w:rStyle w:val="InternetLink"/>
                  <w:spacing w:val="4"/>
                </w:rPr>
                <w:t>Opinion of Mayer Brown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jc w:val="center"/>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0"/>
              <w:jc w:val="left"/>
              <w:rPr/>
            </w:pPr>
            <w:hyperlink w:anchor="tm2622238d2_ex23-1.htm">
              <w:r>
                <w:rPr>
                  <w:rStyle w:val="InternetLink"/>
                  <w:spacing w:val="4"/>
                </w:rPr>
                <w:t>Consent of KPMG LLP,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jc w:val="center"/>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0"/>
              <w:jc w:val="left"/>
              <w:rPr/>
            </w:pPr>
            <w:hyperlink w:anchor="tm2622238d2_ex5-1.htm">
              <w:r>
                <w:rPr>
                  <w:rStyle w:val="InternetLink"/>
                  <w:spacing w:val="4"/>
                </w:rPr>
                <w:t>Consent of Mayer Brown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0"/>
              <w:jc w:val="center"/>
              <w:rPr/>
            </w:pPr>
            <w:r>
              <w:rPr>
                <w:spacing w:val="4"/>
              </w:rPr>
              <w:t>23.3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w:anchor="tm2622238d2_ex23-3.htm">
              <w:r>
                <w:rPr>
                  <w:rStyle w:val="InternetLink"/>
                </w:rPr>
                <w:t>Consent of PricewaterhouseCoopers LLP, Independent Auditors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11"/>
        <w:gridCol w:w="109"/>
        <w:gridCol w:w="109"/>
        <w:gridCol w:w="750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11"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0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1" w:type="dxa"/>
            <w:tcBorders/>
            <w:tcMar>
              <w:bottom w:w="0" w:type="dxa"/>
            </w:tcMar>
            <w:vAlign w:val="center"/>
          </w:tcPr>
          <w:p>
            <w:pPr>
              <w:pStyle w:val="TableContents"/>
              <w:bidi w:val="0"/>
              <w:spacing w:before="0" w:after="0"/>
              <w:jc w:val="center"/>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4" w:type="dxa"/>
            <w:tcBorders/>
            <w:tcMar>
              <w:bottom w:w="0" w:type="dxa"/>
            </w:tcMar>
            <w:vAlign w:val="center"/>
          </w:tcPr>
          <w:p>
            <w:pPr>
              <w:pStyle w:val="TableContents"/>
              <w:bidi w:val="0"/>
              <w:spacing w:before="0" w:after="0"/>
              <w:jc w:val="left"/>
              <w:rPr/>
            </w:pPr>
            <w:hyperlink w:anchor="tPOATT">
              <w:r>
                <w:rPr>
                  <w:rStyle w:val="InternetLink"/>
                  <w:spacing w:val="4"/>
                </w:rPr>
                <w:t>Powers of Attorney (included on the signature pages to the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1" w:type="dxa"/>
            <w:tcBorders/>
            <w:tcMar>
              <w:bottom w:w="0" w:type="dxa"/>
            </w:tcMar>
            <w:vAlign w:val="center"/>
          </w:tcPr>
          <w:p>
            <w:pPr>
              <w:pStyle w:val="TableContents"/>
              <w:bidi w:val="0"/>
              <w:spacing w:before="0" w:after="0"/>
              <w:jc w:val="center"/>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4" w:type="dxa"/>
            <w:tcBorders/>
            <w:tcMar>
              <w:bottom w:w="0" w:type="dxa"/>
            </w:tcMar>
            <w:vAlign w:val="center"/>
          </w:tcPr>
          <w:p>
            <w:pPr>
              <w:pStyle w:val="TableContents"/>
              <w:bidi w:val="0"/>
              <w:spacing w:before="0" w:after="283"/>
              <w:jc w:val="left"/>
              <w:rPr>
                <w:spacing w:val="4"/>
              </w:rPr>
            </w:pPr>
            <w:r>
              <w:rPr>
                <w:spacing w:val="4"/>
              </w:rPr>
              <w:t xml:space="preserve">The Statement of Eligibility on Form T-1 under the Trust Indenture Act of 1939, as amended, of the Trustee under the Senior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1" w:type="dxa"/>
            <w:tcBorders/>
            <w:tcMar>
              <w:bottom w:w="0" w:type="dxa"/>
            </w:tcMar>
            <w:vAlign w:val="center"/>
          </w:tcPr>
          <w:p>
            <w:pPr>
              <w:pStyle w:val="TableContents"/>
              <w:bidi w:val="0"/>
              <w:spacing w:before="0" w:after="0"/>
              <w:jc w:val="center"/>
              <w:rPr>
                <w:spacing w:val="4"/>
              </w:rPr>
            </w:pP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4" w:type="dxa"/>
            <w:tcBorders/>
            <w:tcMar>
              <w:bottom w:w="0" w:type="dxa"/>
            </w:tcMar>
            <w:vAlign w:val="center"/>
          </w:tcPr>
          <w:p>
            <w:pPr>
              <w:pStyle w:val="TableContents"/>
              <w:bidi w:val="0"/>
              <w:spacing w:before="0" w:after="283"/>
              <w:jc w:val="left"/>
              <w:rPr>
                <w:spacing w:val="4"/>
              </w:rPr>
            </w:pPr>
            <w:r>
              <w:rPr>
                <w:spacing w:val="4"/>
              </w:rPr>
              <w:t xml:space="preserve">The Statement of Eligibility on Form T-1 under the Trust Indenture Act of 1939, as amended, of the Trustee under the Subordinated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11" w:type="dxa"/>
            <w:tcBorders/>
            <w:tcMar>
              <w:bottom w:w="0" w:type="dxa"/>
            </w:tcMar>
            <w:vAlign w:val="center"/>
          </w:tcPr>
          <w:p>
            <w:pPr>
              <w:pStyle w:val="TableContents"/>
              <w:bidi w:val="0"/>
              <w:spacing w:before="0" w:after="0"/>
              <w:jc w:val="center"/>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4" w:type="dxa"/>
            <w:tcBorders/>
            <w:tcMar>
              <w:bottom w:w="0" w:type="dxa"/>
            </w:tcMar>
            <w:vAlign w:val="center"/>
          </w:tcPr>
          <w:p>
            <w:pPr>
              <w:pStyle w:val="TableContents"/>
              <w:bidi w:val="0"/>
              <w:spacing w:before="0" w:after="0"/>
              <w:jc w:val="left"/>
              <w:rPr/>
            </w:pPr>
            <w:hyperlink w:anchor="tm2622238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by a Current Report on Form 8-K. </w:t>
      </w:r>
      <w:r>
        <mc:AlternateContent>
          <mc:Choice Requires="wps">
            <w:drawing>
              <wp:anchor behindDoc="0" distT="10287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4"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pursuant to Section 305(b)(2) of the Trust Indenture Act of 1939. </w:t>
      </w:r>
      <w:r>
        <mc:AlternateContent>
          <mc:Choice Requires="wps">
            <w:drawing>
              <wp:anchor behindDoc="0" distT="5207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5"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2870" distB="0" distL="254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6"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include any prospectus required by Section 10(a)(3) of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508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7"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“Filing Fee Table” filed as Exhibit 107 to the effective registration statement; and </w:t>
      </w:r>
      <w:r>
        <mc:AlternateContent>
          <mc:Choice Requires="wps">
            <w:drawing>
              <wp:anchor behindDoc="0" distT="102870" distB="0" distL="508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8"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this registration statement or any material change to such information in this registration statement; </w:t>
      </w:r>
      <w:r>
        <mc:AlternateContent>
          <mc:Choice Requires="wps">
            <w:drawing>
              <wp:anchor behindDoc="0" distT="102870" distB="0" distL="508000" distR="0" simplePos="0" locked="0" layoutInCell="1" allowOverlap="1" relativeHeight="162">
                <wp:simplePos x="0" y="0"/>
                <wp:positionH relativeFrom="column">
                  <wp:align>left</wp:align>
                </wp:positionH>
                <wp:positionV relativeFrom="line">
                  <wp:align>top</wp:align>
                </wp:positionV>
                <wp:extent cx="254000" cy="525780"/>
                <wp:effectExtent l="0" t="0" r="0" b="0"/>
                <wp:wrapSquare wrapText="right"/>
                <wp:docPr id="159" name="Frame1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(1)(i), (1)(ii) and (1)(iii)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0"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1"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160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2"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a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508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3"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0" distB="0" distL="508000" distR="0" simplePos="0" locked="0" layoutInCell="1" allowOverlap="1" relativeHeight="167">
                <wp:simplePos x="0" y="0"/>
                <wp:positionH relativeFrom="column">
                  <wp:align>left</wp:align>
                </wp:positionH>
                <wp:positionV relativeFrom="line">
                  <wp:posOffset>635</wp:posOffset>
                </wp:positionV>
                <wp:extent cx="254000" cy="350520"/>
                <wp:effectExtent l="0" t="0" r="0" b="0"/>
                <wp:wrapSquare wrapText="right"/>
                <wp:docPr id="164"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r>
        <mc:AlternateContent>
          <mc:Choice Requires="wps">
            <w:drawing>
              <wp:anchor behindDoc="0" distT="10414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5"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such undersigned Registrant relating to the offering required to be filed pursuant to Rule 424; </w:t>
      </w:r>
      <w:r>
        <mc:AlternateContent>
          <mc:Choice Requires="wps">
            <w:drawing>
              <wp:anchor behindDoc="0" distT="104140" distB="0" distL="508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6"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such undersigned Registrant; </w:t>
      </w:r>
      <w:r>
        <mc:AlternateContent>
          <mc:Choice Requires="wps">
            <w:drawing>
              <wp:anchor behindDoc="0" distT="104140" distB="0" distL="508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7"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such undersigned Registrant or its securities provided by or on behalf of such undersigned Registrant; and </w:t>
      </w:r>
      <w:r>
        <mc:AlternateContent>
          <mc:Choice Requires="wps">
            <w:drawing>
              <wp:anchor behindDoc="0" distT="104140" distB="0" distL="508000" distR="0" simplePos="0" locked="0" layoutInCell="1" allowOverlap="1" relativeHeight="171">
                <wp:simplePos x="0" y="0"/>
                <wp:positionH relativeFrom="column">
                  <wp:align>left</wp:align>
                </wp:positionH>
                <wp:positionV relativeFrom="line">
                  <wp:align>top</wp:align>
                </wp:positionV>
                <wp:extent cx="254000" cy="525780"/>
                <wp:effectExtent l="0" t="0" r="0" b="0"/>
                <wp:wrapSquare wrapText="right"/>
                <wp:docPr id="168" name="Frame1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4140" distB="0" distL="508000" distR="0" simplePos="0" locked="0" layoutInCell="1" allowOverlap="1" relativeHeight="172">
                <wp:simplePos x="0" y="0"/>
                <wp:positionH relativeFrom="column">
                  <wp:align>left</wp:align>
                </wp:positionH>
                <wp:positionV relativeFrom="line">
                  <wp:align>top</wp:align>
                </wp:positionV>
                <wp:extent cx="254000" cy="525780"/>
                <wp:effectExtent l="0" t="0" r="0" b="0"/>
                <wp:wrapSquare wrapText="right"/>
                <wp:docPr id="169" name="Frame1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414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0"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w:t>
      </w:r>
      <w:r>
        <mc:AlternateContent>
          <mc:Choice Requires="wps">
            <w:drawing>
              <wp:anchor behindDoc="0" distT="10414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1"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w:t>
      </w:r>
      <w:r>
        <mc:AlternateContent>
          <mc:Choice Requires="wps">
            <w:drawing>
              <wp:anchor behindDoc="0" distT="104140" distB="0" distL="508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2"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post-effective amendment that contains a form of prospectus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2870" distB="0" distL="508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3"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an application for the purpose of determining the eligibility of the trustee to act under </w:t>
      </w:r>
      <w:r>
        <mc:AlternateContent>
          <mc:Choice Requires="wps">
            <w:drawing>
              <wp:anchor behindDoc="0" distT="10414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4"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(a) of Section 310 of the Trust Indenture Act in accordance with the rules and regulations prescribed by the Securities and Exchange Commission under Section 305(b)(2) of the Trust Indenture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any Registrant pursuant to the foregoing provisions, or otherwise, each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OATT"/>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The Woodlands, State of Texas, on August 14, 2026. </w:t>
      </w:r>
    </w:p>
    <w:tbl>
      <w:tblPr>
        <w:tblW w:w="4726" w:type="dxa"/>
        <w:jc w:val="left"/>
        <w:tblInd w:w="1393" w:type="dxa"/>
        <w:tblLayout w:type="fixed"/>
        <w:tblCellMar>
          <w:top w:w="0" w:type="dxa"/>
          <w:left w:w="0" w:type="dxa"/>
          <w:bottom w:w="0" w:type="dxa"/>
          <w:right w:w="0" w:type="dxa"/>
        </w:tblCellMar>
      </w:tblPr>
      <w:tblGrid>
        <w:gridCol w:w="124"/>
        <w:gridCol w:w="109"/>
        <w:gridCol w:w="109"/>
        <w:gridCol w:w="109"/>
        <w:gridCol w:w="412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21" w:type="dxa"/>
            <w:tcBorders/>
            <w:vAlign w:val="center"/>
          </w:tcPr>
          <w:p>
            <w:pPr>
              <w:pStyle w:val="TableContents"/>
              <w:bidi w:val="0"/>
              <w:spacing w:before="0" w:after="283"/>
              <w:jc w:val="left"/>
              <w:rPr/>
            </w:pPr>
            <w:r>
              <w:rPr>
                <w:spacing w:val="-4"/>
              </w:rPr>
              <w:t>HOWARD HUGHES HOLDINGS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21" w:type="dxa"/>
            <w:tcBorders/>
            <w:vAlign w:val="center"/>
          </w:tcPr>
          <w:p>
            <w:pPr>
              <w:pStyle w:val="TableContents"/>
              <w:bidi w:val="0"/>
              <w:spacing w:lineRule="atLeast" w:line="200" w:before="0" w:after="0"/>
              <w:ind w:left="400" w:right="0" w:hanging="0"/>
              <w:jc w:val="left"/>
              <w:rPr/>
            </w:pPr>
            <w:r>
              <w:rPr>
                <w:spacing w:val="4"/>
              </w:rPr>
              <w:t>/s/ DAVID O’REILLY</w:t>
            </w:r>
            <w:r>
              <w:rPr/>
              <w:t xml:space="preserve">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254000" cy="525780"/>
                      <wp:effectExtent l="0" t="0" r="0" b="0"/>
                      <wp:wrapSquare wrapText="right"/>
                      <wp:docPr id="175" name="Frame1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 xml:space="preserve">Name: David O’Reilly </w:t>
            </w:r>
            <w:r>
              <w:rPr/>
              <w:br/>
            </w:r>
            <w:r>
              <w:rPr>
                <w:spacing w:val="4"/>
              </w:rPr>
              <w:t>Title: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 AND 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undersigned officers and directors of Howard Hughes Holdings Inc., hereby severally constitute and appoint David O’Reilly, Carlos Olea and Joseph Valane,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Howard Hughes Holdings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669"/>
        <w:gridCol w:w="109"/>
        <w:gridCol w:w="109"/>
        <w:gridCol w:w="4008"/>
        <w:gridCol w:w="109"/>
        <w:gridCol w:w="109"/>
        <w:gridCol w:w="141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6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0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9" w:type="dxa"/>
            <w:tcBorders/>
            <w:tcMar>
              <w:bottom w:w="0" w:type="dxa"/>
            </w:tcMar>
            <w:vAlign w:val="center"/>
          </w:tcPr>
          <w:p>
            <w:pPr>
              <w:pStyle w:val="TableContents"/>
              <w:bidi w:val="0"/>
              <w:spacing w:before="0" w:after="0"/>
              <w:jc w:val="center"/>
              <w:rPr/>
            </w:pPr>
            <w:r>
              <w:rPr>
                <w:spacing w:val="4"/>
              </w:rPr>
              <w:t>/s/ DAVID O’REILLY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David O’Reilly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08" w:type="dxa"/>
            <w:tcBorders/>
            <w:tcMar>
              <w:bottom w:w="0" w:type="dxa"/>
            </w:tcMar>
            <w:vAlign w:val="center"/>
          </w:tcPr>
          <w:p>
            <w:pPr>
              <w:pStyle w:val="TableContents"/>
              <w:bidi w:val="0"/>
              <w:spacing w:before="0" w:after="283"/>
              <w:jc w:val="left"/>
              <w:rPr/>
            </w:pPr>
            <w:r>
              <w:rPr>
                <w:spacing w:val="4"/>
              </w:rPr>
              <w:t>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9" w:type="dxa"/>
            <w:tcBorders/>
            <w:tcMar>
              <w:top w:w="28" w:type="dxa"/>
              <w:left w:w="28" w:type="dxa"/>
              <w:right w:w="28" w:type="dxa"/>
            </w:tcMar>
            <w:vAlign w:val="center"/>
          </w:tcPr>
          <w:p>
            <w:pPr>
              <w:pStyle w:val="TableContents"/>
              <w:bidi w:val="0"/>
              <w:spacing w:before="0" w:after="0"/>
              <w:jc w:val="center"/>
              <w:rPr/>
            </w:pPr>
            <w:r>
              <w:rPr>
                <w:spacing w:val="4"/>
              </w:rPr>
              <w:t>/s/ CARLOS A. OLEA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Carlos A. Olea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08"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Chief Financial Officer (Principal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9" w:type="dxa"/>
            <w:tcBorders/>
            <w:tcMar>
              <w:top w:w="28" w:type="dxa"/>
              <w:left w:w="28" w:type="dxa"/>
              <w:right w:w="28" w:type="dxa"/>
            </w:tcMar>
            <w:vAlign w:val="center"/>
          </w:tcPr>
          <w:p>
            <w:pPr>
              <w:pStyle w:val="TableContents"/>
              <w:bidi w:val="0"/>
              <w:spacing w:before="0" w:after="0"/>
              <w:jc w:val="center"/>
              <w:rPr/>
            </w:pPr>
            <w:r>
              <w:rPr>
                <w:spacing w:val="4"/>
              </w:rPr>
              <w:t>/s/ ELENA VERBINSKAYA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Elena Verbinskaya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08"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Chief Accounting Officer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9" w:type="dxa"/>
            <w:tcBorders/>
            <w:tcMar>
              <w:top w:w="28" w:type="dxa"/>
              <w:left w:w="28" w:type="dxa"/>
              <w:right w:w="28" w:type="dxa"/>
            </w:tcMar>
            <w:vAlign w:val="center"/>
          </w:tcPr>
          <w:p>
            <w:pPr>
              <w:pStyle w:val="TableContents"/>
              <w:bidi w:val="0"/>
              <w:spacing w:before="0" w:after="0"/>
              <w:jc w:val="center"/>
              <w:rPr/>
            </w:pPr>
            <w:r>
              <w:rPr>
                <w:spacing w:val="4"/>
              </w:rPr>
              <w:t>/s/ WILLIAM ACKMAN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William Ackman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08"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(Executive 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9" w:type="dxa"/>
            <w:tcBorders/>
            <w:tcMar>
              <w:top w:w="28" w:type="dxa"/>
              <w:left w:w="28" w:type="dxa"/>
              <w:right w:w="28" w:type="dxa"/>
            </w:tcMar>
            <w:vAlign w:val="center"/>
          </w:tcPr>
          <w:p>
            <w:pPr>
              <w:pStyle w:val="TableContents"/>
              <w:bidi w:val="0"/>
              <w:spacing w:before="0" w:after="0"/>
              <w:jc w:val="center"/>
              <w:rPr/>
            </w:pPr>
            <w:r>
              <w:rPr>
                <w:spacing w:val="4"/>
              </w:rPr>
              <w:t>/s/ DAVID EUN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David Eun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08"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69" w:type="dxa"/>
            <w:tcBorders/>
            <w:tcMar>
              <w:top w:w="28" w:type="dxa"/>
              <w:left w:w="28" w:type="dxa"/>
              <w:right w:w="28" w:type="dxa"/>
            </w:tcMar>
            <w:vAlign w:val="center"/>
          </w:tcPr>
          <w:p>
            <w:pPr>
              <w:pStyle w:val="TableContents"/>
              <w:bidi w:val="0"/>
              <w:spacing w:before="0" w:after="0"/>
              <w:jc w:val="center"/>
              <w:rPr/>
            </w:pPr>
            <w:r>
              <w:rPr>
                <w:spacing w:val="4"/>
              </w:rPr>
              <w:t>/s/ MARC GRANDISSON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Marc Grandisson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08"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9"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3119"/>
        <w:gridCol w:w="109"/>
        <w:gridCol w:w="109"/>
        <w:gridCol w:w="3367"/>
        <w:gridCol w:w="109"/>
        <w:gridCol w:w="109"/>
        <w:gridCol w:w="1610"/>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1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19" w:type="dxa"/>
            <w:tcBorders/>
            <w:tcMar>
              <w:bottom w:w="0" w:type="dxa"/>
            </w:tcMar>
            <w:vAlign w:val="center"/>
          </w:tcPr>
          <w:p>
            <w:pPr>
              <w:pStyle w:val="TableContents"/>
              <w:bidi w:val="0"/>
              <w:spacing w:before="0" w:after="0"/>
              <w:jc w:val="center"/>
              <w:rPr/>
            </w:pPr>
            <w:r>
              <w:rPr>
                <w:spacing w:val="4"/>
              </w:rPr>
              <w:t>/s/ RYAN ISRAEL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Ryan Israel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7" w:type="dxa"/>
            <w:tcBorders/>
            <w:tcMar>
              <w:bottom w:w="0" w:type="dxa"/>
            </w:tcMar>
            <w:vAlign w:val="center"/>
          </w:tcPr>
          <w:p>
            <w:pPr>
              <w:pStyle w:val="TableContents"/>
              <w:bidi w:val="0"/>
              <w:spacing w:before="0" w:after="283"/>
              <w:jc w:val="left"/>
              <w:rPr>
                <w:spacing w:val="4"/>
              </w:rPr>
            </w:pPr>
            <w:r>
              <w:rPr>
                <w:spacing w:val="4"/>
              </w:rPr>
              <w:t xml:space="preserve">Director and Chief Investment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0" w:type="dxa"/>
            <w:tcBorders/>
            <w:tcMar>
              <w:bottom w:w="0"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19" w:type="dxa"/>
            <w:tcBorders/>
            <w:tcMar>
              <w:top w:w="28" w:type="dxa"/>
              <w:left w:w="28" w:type="dxa"/>
              <w:right w:w="28" w:type="dxa"/>
            </w:tcMar>
            <w:vAlign w:val="center"/>
          </w:tcPr>
          <w:p>
            <w:pPr>
              <w:pStyle w:val="TableContents"/>
              <w:bidi w:val="0"/>
              <w:spacing w:before="0" w:after="0"/>
              <w:jc w:val="center"/>
              <w:rPr/>
            </w:pPr>
            <w:r>
              <w:rPr>
                <w:spacing w:val="4"/>
              </w:rPr>
              <w:t>/s/ THOM LACHMAN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Thom Lachman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19" w:type="dxa"/>
            <w:tcBorders/>
            <w:tcMar>
              <w:top w:w="28" w:type="dxa"/>
              <w:left w:w="28" w:type="dxa"/>
              <w:right w:w="28" w:type="dxa"/>
            </w:tcMar>
            <w:vAlign w:val="center"/>
          </w:tcPr>
          <w:p>
            <w:pPr>
              <w:pStyle w:val="TableContents"/>
              <w:bidi w:val="0"/>
              <w:spacing w:before="0" w:after="0"/>
              <w:jc w:val="center"/>
              <w:rPr/>
            </w:pPr>
            <w:r>
              <w:rPr>
                <w:spacing w:val="4"/>
              </w:rPr>
              <w:t>/s/ SUSAN PANUCCIO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Susan Panuccio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19" w:type="dxa"/>
            <w:tcBorders/>
            <w:tcMar>
              <w:top w:w="28" w:type="dxa"/>
              <w:left w:w="28" w:type="dxa"/>
              <w:right w:w="28" w:type="dxa"/>
            </w:tcMar>
            <w:vAlign w:val="center"/>
          </w:tcPr>
          <w:p>
            <w:pPr>
              <w:pStyle w:val="TableContents"/>
              <w:bidi w:val="0"/>
              <w:spacing w:before="0" w:after="0"/>
              <w:jc w:val="center"/>
              <w:rPr/>
            </w:pPr>
            <w:r>
              <w:rPr>
                <w:spacing w:val="4"/>
              </w:rPr>
              <w:t>/s/ R. SCOT SELLERS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 Scot Sellers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19" w:type="dxa"/>
            <w:tcBorders/>
            <w:tcMar>
              <w:top w:w="28" w:type="dxa"/>
              <w:left w:w="28" w:type="dxa"/>
              <w:right w:w="28" w:type="dxa"/>
            </w:tcMar>
            <w:vAlign w:val="center"/>
          </w:tcPr>
          <w:p>
            <w:pPr>
              <w:pStyle w:val="TableContents"/>
              <w:bidi w:val="0"/>
              <w:spacing w:before="0" w:after="0"/>
              <w:jc w:val="center"/>
              <w:rPr/>
            </w:pPr>
            <w:r>
              <w:rPr>
                <w:spacing w:val="4"/>
              </w:rPr>
              <w:t>/s/ MARY ANN TIGHE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Mary Ann Tighe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19" w:type="dxa"/>
            <w:tcBorders/>
            <w:tcMar>
              <w:top w:w="28" w:type="dxa"/>
              <w:left w:w="28" w:type="dxa"/>
              <w:right w:w="28" w:type="dxa"/>
            </w:tcMar>
            <w:vAlign w:val="center"/>
          </w:tcPr>
          <w:p>
            <w:pPr>
              <w:pStyle w:val="TableContents"/>
              <w:bidi w:val="0"/>
              <w:spacing w:before="0" w:after="0"/>
              <w:jc w:val="center"/>
              <w:rPr/>
            </w:pPr>
            <w:r>
              <w:rPr>
                <w:spacing w:val="4"/>
              </w:rPr>
              <w:t>/s/ JEAN-BAPTISTE WAUTIER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Jean-Baptiste Wautier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14,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19" w:type="dxa"/>
            <w:tcBorders/>
            <w:tcMar>
              <w:top w:w="28" w:type="dxa"/>
              <w:left w:w="28" w:type="dxa"/>
              <w:right w:w="28" w:type="dxa"/>
            </w:tcMar>
            <w:vAlign w:val="center"/>
          </w:tcPr>
          <w:p>
            <w:pPr>
              <w:pStyle w:val="TableContents"/>
              <w:bidi w:val="0"/>
              <w:spacing w:before="0" w:after="0"/>
              <w:jc w:val="center"/>
              <w:rPr/>
            </w:pPr>
            <w:r>
              <w:rPr>
                <w:spacing w:val="4"/>
              </w:rPr>
              <w:t>/s/ ANTHONY WILLIAMS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Anthony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0" w:type="dxa"/>
            <w:tcBorders/>
            <w:tcMar>
              <w:top w:w="28" w:type="dxa"/>
              <w:left w:w="28" w:type="dxa"/>
              <w:right w:w="28" w:type="dxa"/>
            </w:tcMar>
            <w:vAlign w:val="center"/>
          </w:tcPr>
          <w:p>
            <w:pPr>
              <w:pStyle w:val="TableContents"/>
              <w:bidi w:val="0"/>
              <w:spacing w:before="0" w:after="0"/>
              <w:jc w:val="center"/>
              <w:rPr/>
            </w:pPr>
            <w:r>
              <w:rPr>
                <w:spacing w:val="4"/>
              </w:rPr>
              <w:t>August 14,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0" w:name="tm2622238d2_ex4-3.htm"/>
      <w:bookmarkStart w:id="21" w:name="kstm2622238d2_ex43"/>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capital stock of Howard Hughes Holdings Inc. (the “Company,” “we,” “us,” and “our”) is a summary and does not purport to be complete. It is subject to and qualified in its entirety by reference to our (i) Amended and Restated Certificate of Incorporation (the “Certificate of Incorporation”), (ii) Certificate of Designations of Non-Voting Exchangeable Perpetual Preferred Stock filed with the Secretary of State of the State of Delaware on June 4, 2026 (the “Certificate of Designations”), and (iii) Amended and Restated Bylaws (the “Bylaws”), each of which is incorporated by reference as exhibits to the Registration Statement on Form S-3 of which this Exhibit 4.3 is a part. We encourage you to read our Certificate of Incorporation, our Certificate of Designations, our Bylaws and the applicable provisions of the Delaware General Corporation Law (the “DGCL”)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shares consist of 150,000,000 shares of common stock, $0.01 par value per share (the “Common Stock”), and 50,000,000 shares of preferred stock, $0.01 par value per share (the “Preferred Stock”). All outstanding shares of our Common Stock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is entitled to one vote on all matters submitted to a vote of stockholders. Holders of Common Stock do not have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preferential rights of any outstanding Preferred Stock, holders of our Common Stock will be entitled to receive ratably the dividends, if any, as may be declared from time to time by our board of directors out of funds legally available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liquidation, dissolution or winding up of our Company, holders of our Common Stock would be entitled to ratable distribution of our assets remaining after the payment in full of liabilities and any preferential rights of any outstanding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Rights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preemptive or conversion rights or other subscription rights, and there are no redemption or sinking fund provisions applicable to the Common Stock. The rights, preferences and privileges of the holders of our Common Stock are subject to, and may be adversely affected by, the rights of the holders of shares of any series of Preferred Stock that we may designate and issue in the future, including the Series A Preferred Stock described below. There are no provisions in our Certificate of Incorporation or Bylaws discriminating against a stockholder because of his or her ownership of a particular number of shares. We are not aware of any limitations on the rights to own our Common Stock, including rights of non-resident or foreign stockholders to hold or exercise voting rights on our Common Stock, imposed by foreign law or by our Certificate of Incorporation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traded on the New York Stock Exchange under the trading symbol “HHH.”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limitations prescribed by the DGCL, our board of directors is authorized to fix the designation of each series of Preferred Stock,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Preferred Stock — Series A Non-Voting Exchangeable Perpetual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140,000 shares of our Non-Voting Exchangeable Perpetual Preferred Stock, par value $0.01 per share (the “Series A Preferred Stock”), are issued and outstanding, all of which were issued on June 4, 2026 (the “Closing Date”) to Pershing Square Holdings, Ltd. (“PSH”) in connection with the closing of our acquisition of Vantage Group Holdings, Ltd. (the “Vantage Acquisition”). The following is a summary of the material terms of the Series A Preferred Stock. This summary does not purport to be complete and is subject to and qualified in its entirety by reference to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w:t>
      </w:r>
      <w:r>
        <w:rPr>
          <w:rFonts w:ascii="Times New Roman;Times;Serif" w:hAnsi="Times New Roman;Times;Serif"/>
          <w:b w:val="false"/>
          <w:i w:val="false"/>
          <w:caps w:val="false"/>
          <w:smallCaps w:val="false"/>
          <w:sz w:val="20"/>
        </w:rPr>
        <w:t xml:space="preserve"> On the Closing Date, in connection with the closing of the Vantage Acquisition, we issued 140,000 shares of Series A Preferred Stock (divided into 14 equally sized tranches titled Series A-1 through Series A-14, each a “Tranche”) to PSH at a purchase price of $7,142.86 per share (the “Original Issue Price”), for an aggregate purchase price of $1,000,000,000, pursuant to a Subscription Agreement, dated June 4, 2026, between the Company and PSH (the “Subscription Agreement”), on terms substantially consistent with the Equity Commitment Letter, dated December 17, 2025, between the Company and PSH (the “Equity Commitment Letter”). Each Tranche is initially held through a separate non-U.S. holding entity wholly owned by PSH (each, a “Holding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xml:space="preserve"> The Series A Preferred Stock ranks pari passu with our Common Stock in all respects, including with respect to payment rights upon our liquidation, winding up or dissolution. The Series A Preferred Stock carries no liquidation preference. As a result, in the event of our liquidation, winding up or dissolution, holders of the Series A Preferred Stock will participate ratably with holders of our Common Stock in any distributions of our assets, on an as-exchanged basis, and will not be entitled to any preferential payment or priority over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Dividends on the Series A Preferred Stock, if any, may be declared at the sole discretion of a majority of the Disinterested Directors (as defined in the Standstill Agreement, dated as of May 5, 2025, between the Company and Pershing Square Inc. (as successor to Pershing Square Holdco, L.P.) (“PS Inc.,” and such agreement, the “Standstill Agreement”)) of our board of directors. If declared, dividends will be paid out of the lesser of (i) our assets legally available for the payment of dividends and (ii) pro rata cash dividends that track, on an as-exchanged basis, the dividends or distributions received by us (through our wholly-owned subsidiary Howard Hughes Insurance Holdings, LLC) from Vantage. If we fail to meet our repurchase obligations on the applicable repurchase date, the unpurchased shares of Series A Preferred Stock will bear a dividend at a rate equal to 10% of the Original Issue Price per annum until such shares have been repurchased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 Option.</w:t>
      </w:r>
      <w:r>
        <w:rPr>
          <w:rFonts w:ascii="Times New Roman;Times;Serif" w:hAnsi="Times New Roman;Times;Serif"/>
          <w:b w:val="false"/>
          <w:i w:val="false"/>
          <w:caps w:val="false"/>
          <w:smallCaps w:val="false"/>
          <w:sz w:val="20"/>
        </w:rPr>
        <w:t xml:space="preserve"> During the period between 60 and 90 days following the end of each of the first seven fiscal years following the Closing Date (or at such other mutually agreed times), we have the right, but not the obligation, to repurchase one or more full Tranches of the Series A Preferred Stock at a price per share equal to the greater of (i) the Original Issue Price plus interest, compounded daily, at a rate of 4% per annum through the date of repurchase and (ii) 1.5 times the book value of Howard Hughes Insurance Holdings, LLC (excluding non-controlling interests and goodwill and purchase-related intangibles attributable to the completion of the Vantage Acquisition), determined in accordance with GAAP, multiplied by the proportionate ownership of Howard Hughes Insurance Holdings, LLC represented by such share on an as-exchanged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Rights.</w:t>
      </w:r>
      <w:r>
        <w:rPr>
          <w:rFonts w:ascii="Times New Roman;Times;Serif" w:hAnsi="Times New Roman;Times;Serif"/>
          <w:b w:val="false"/>
          <w:i w:val="false"/>
          <w:caps w:val="false"/>
          <w:smallCaps w:val="false"/>
          <w:sz w:val="20"/>
        </w:rPr>
        <w:t xml:space="preserve"> Beginning within sixty (60) days after the end of the seventh fiscal year following the Closing Date (subject to our exercise of the call option described above), and at the end of each subsequent fiscal year, holders of Series A Preferred Stock may exchange their shares (in increments of full Tranches, in amounts greater than 10% of their holdings) into common units of Howard Hughes Insurance Holdings, LLC, the Company’s wholly-owned subsidiary and direct parent of Vantage (“Buyer Units”), at an exchange ratio (the “Exchange Ratio”) calculated as Preferred Stock Capital divided by Total Capital, where “Preferred Stock Capital” reflects the aggregate amounts invested (plus certain accrued amounts) by PSH and “Total Capital” reflects the total equity capital invested in Howard Hughes Insurance Holdings, LLC. In no event may the holders of Series A Preferred Stock acquire, in the aggregate, more than 49% of the total Buyer Units outstanding (the “Ownership Cap”) without the approval of a majority of the Disinterested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Mandatory Repurchase.</w:t>
      </w:r>
      <w:r>
        <w:rPr>
          <w:rFonts w:ascii="Times New Roman;Times;Serif" w:hAnsi="Times New Roman;Times;Serif"/>
          <w:b w:val="false"/>
          <w:i w:val="false"/>
          <w:caps w:val="false"/>
          <w:smallCaps w:val="false"/>
          <w:sz w:val="20"/>
        </w:rPr>
        <w:t xml:space="preserve"> We are required to offer to repurchase all outstanding shares of Series A Preferred Stock upon (i) a change of control or reorganization of us or Vantage, including any sale or disposal in any form of a controlling interest in Vantage (other than where PSH or its affiliates would hold a majority of the outstanding equity interests of Vantage immediately after such transaction), (ii) a sale of all or substantially all of our assets or business or those of Vantage (other than where PSH or its affiliates own, directly or indirectly, a majority of the equity interests of the acquiring entity), or (iii) a material breach by us of the Certificate of Designations (subject to a customary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Protective Provisions.</w:t>
      </w:r>
      <w:r>
        <w:rPr>
          <w:rFonts w:ascii="Times New Roman;Times;Serif" w:hAnsi="Times New Roman;Times;Serif"/>
          <w:b w:val="false"/>
          <w:i w:val="false"/>
          <w:caps w:val="false"/>
          <w:smallCaps w:val="false"/>
          <w:sz w:val="20"/>
        </w:rPr>
        <w:t xml:space="preserve"> Any decisions to be made by us with respect to or affecting the Series A Preferred Stock must be made by a majority of the Disinterested Directors. Further, the consent of a majority-in-interest of the holders of Series A Preferred Stock is required prior to (i) the creation or issuance of additional shares of Series A Preferred Stock or any new class of our capital stock or equity interests of Howard Hughes Insurance Holdings, LLC senior to the Series A Preferred Stock or Buyer Units, respectively, (ii) the issuance of additional equity interests of Howard Hughes Insurance Holdings, LLC, (iii) any alteration of the Series A Preferred Stock’s powers, preferences or special rights that would materially and adversely change those rights, or (iv) any amendment to our Certificate of Incorporation that would materially and adversely change the rights of the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Preemptive Rights.</w:t>
      </w:r>
      <w:r>
        <w:rPr>
          <w:rFonts w:ascii="Times New Roman;Times;Serif" w:hAnsi="Times New Roman;Times;Serif"/>
          <w:b w:val="false"/>
          <w:i w:val="false"/>
          <w:caps w:val="false"/>
          <w:smallCaps w:val="false"/>
          <w:sz w:val="20"/>
        </w:rPr>
        <w:t xml:space="preserve"> Following the Closing Date, in the event of any contribution of additional capital to Howard Hughes Insurance Holdings, LLC, the holder(s) of the Series A Preferred Stock shall have the right (but not the obligation) to purchase additional shares of Series A Preferred Stock on a pro rata basis at the same price and on the same terms as such additional capital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 of First Refusal.</w:t>
      </w:r>
      <w:r>
        <w:rPr>
          <w:rFonts w:ascii="Times New Roman;Times;Serif" w:hAnsi="Times New Roman;Times;Serif"/>
          <w:b w:val="false"/>
          <w:i w:val="false"/>
          <w:caps w:val="false"/>
          <w:smallCaps w:val="false"/>
          <w:sz w:val="20"/>
        </w:rPr>
        <w:t xml:space="preserve"> For as long as PSH or any of its affiliates holds shares of Series A Preferred Stock or equity interests of Howard Hughes Insurance Holdings, LLC, PSH shall have a right of first refusal with respect to any proposed secondary sale of any equity securities of Howard Hughes Insurance Holdings, LLC to any third party, and a consent right over any primary issuance of additional equity securities of Howard Hughes Insurance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The Series A Preferred Stock is non-voting. Holders of the Series A Preferred Stock have no right to vote on any matter submitted to a vote of our stockholders, except as required by applicable law or as described above under protective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xml:space="preserve"> During the first seven fiscal years following the Closing Date, our consent will be required prior to transfers of the Series A Preferred Stock to persons other than affiliates of PSH (subject to compliance with applicable insurance and securities laws). Thereafter, transfers are subject to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xml:space="preserve"> PSH has customary registration rights pursuant to the Registration Rights Agreement, dated as of June 4, 2026, by and among the Company, Howard Hughes Insurance Holdings, LLC and PSH (the “Vantage RRA”), with respect to the Buyer Units issuable upon exchange of the Series A Preferred Stock, including the right to require us and Howard Hughes Insurance Holdings, LLC to use reasonable best efforts to conduct an initial public offering or direct listing of the Buyer Units concurrently with any exchange of the Series A Preferred Stock for Buyer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Warrant Issued April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“Warrant Effective Date”), pursuant to a Warrant Agreement (the “Warrant Agreement”) between the Company and MGFT Investments LLC, a Delaware limited liability company solely owned and controlled by a trust for the benefit of certain members of Marc Grandisson’s family (the “Warrantholder”), we granted and sold to the Warrantholder a warrant (the “Director Warrant”) to acquire up to 1,131,273 shares of Common Stock (the “Warrant Shares”) at an exercise price of $100.00 per Warrant Share, for a cash purchase price of $10,000,000 (equal to $8.84 per Warrant Share). The Director Warrant was issued in connection with the appointment of Marc Grandisson to our board of directors, who was designated by PS Inc. pursuant to the Shareholder Agreement, dated May 5, 2025, by and between the Company and PS Inc. (f/k/a Pershing Square Holdco, L.P.) (the “Shareholder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Period.</w:t>
      </w:r>
      <w:r>
        <w:rPr>
          <w:rFonts w:ascii="Times New Roman;Times;Serif" w:hAnsi="Times New Roman;Times;Serif"/>
          <w:b w:val="false"/>
          <w:i w:val="false"/>
          <w:caps w:val="false"/>
          <w:smallCaps w:val="false"/>
          <w:sz w:val="20"/>
        </w:rPr>
        <w:t xml:space="preserve"> The Director Warrant may only be exercised on or after April 20, 2030 (the “Initial Exercise Date”) and on or prior to April 20, 2031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Manner of Exercise.</w:t>
      </w:r>
      <w:r>
        <w:rPr>
          <w:rFonts w:ascii="Times New Roman;Times;Serif" w:hAnsi="Times New Roman;Times;Serif"/>
          <w:b w:val="false"/>
          <w:i w:val="false"/>
          <w:caps w:val="false"/>
          <w:smallCaps w:val="false"/>
          <w:sz w:val="20"/>
        </w:rPr>
        <w:t xml:space="preserve"> The Director Warrant may be exercised for cash or, at the Warrantholder’s election, on a cashless (net value) basis, in which case the Warrantholder will receive Warrant Shares having an aggregate market value (measured using a 30-day volume-weighted average price) equal to the difference between such market value and the aggregate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xml:space="preserve"> The exercise price and the number of Warrant Shares are subject to adjustment for (i) Fundamental Transactions (mergers, sales of substantially all assets, tender offers or other combinations resulting in a change of more than 50% of voting power), (ii) stock splits, stock dividends and recapitalizations, (iii) issuances of equity at prices below 90% of market value (subject to a broad-based weighted average antidilution formula and customary exceptions), and (iv) other non-cash distributions to holders of Common Stock. Cash dividends on Common Stock do not give rise to any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xml:space="preserve"> The Director Warrant may not be transferred prior to the Initial Exercise Date, except to certain permitted transferees of Marc Grandisson (including his estate, immediate family members and their trusts, and entities wholly owned by Mr. Grandisson). Neither the Warrantholder nor any permitted transferee may hedge or enter into any derivative transaction with respect to the Warrant Shares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xml:space="preserve"> On and after the Initial Exercise Date, the Warrantholder has customary piggyback registration rights with respect to the Warrant Shares in connection with any registered offering of our equity securities (other than on Form S-4 or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Prior to exercise, the Warrantholder has no voting or other stockholder rights with respect to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The Director Warrant is governed by Delaware law, with exclusive jurisdiction in the Delaware Court of Chancery.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Various Provisions of Delaware Law</w:t>
        <w:br/>
        <w:t>and 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DGCL and our Certificate of Incorporation and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improved terms for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Anti-Takeover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an anti-takeover statute. In general, Section 203 of the DGCL prohibits a 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if the person is an affiliate or an associate of the Company, within three years prior to the determination of interested stockholder status did own) 15% or more of a corporation’s voting stock. Our board of directors approved, for purposes of Section 203, the acquisition of our shares of Common Stock by PS Inc. and its affiliates pursuant to the Shareholder Agreement and related transactions, such that PS Inc. and its affiliates are not “interested stockholders” within the meaning of Section 203 by virtue of such acquisitions.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Size of Board and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number of directors on our board of directors will be fixed exclusively by our board of directors; provided, however, that pursuant to the Standstill Agreement, the size of the Board is fixed at 11 members and may not be changed without the approval of 75% of the board of directors (the “Board”). Subject to the rights of the holders of any series of preferred stock then outstanding, newly created directorships resulting from any increase in our authorized number of directors will be filled by a majority of our board of directors then in office, provided that a majority of the total number of directors is present, unless the board of directors otherwise determines that such directorships should be filled by the affirmative vote of the stockholders of record of at least a majority of the voting stock. Any vacancies in our board of directors resulting from death, resignation, retirement, disqualification, removal from office or other cause will be filled generally by the majority vote of our remaining directors in office, even if less than a quorum is present. Our Certificate of Incorporation and Bylaws permit stockholders to remove a director or directors with or without cause. Pursuant to the Shareholder Agreement, for so long as the Purchaser Group (as defined in the Shareholder Agreement, consisting of PS Inc., Pershing Square Capital Management, L.P. and their respective affiliates) beneficially owns at least 17.5% of the outstanding shares of Common Stock on a fully diluted basis, PS Inc. may nominate for election a number of directors equal to 25% of the total number of members of the Board (rounded up). For so long as the Purchaser Group beneficially owns less than 17.5% but at least 10% of the outstanding shares of Common Stock on a fully diluted basis, PS Inc. may nominate a number of directors equal to 10% of the total number of members of the Board (rounded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Stockholder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and Bylaws, our board of directors may call special meetings of our stockholders. A special meeting is also required to be called by the secretary upon written request by stockholders who together hold 15% or more of the voting power of the issued and outstanding shares of the capital stock of the Company entitled to vote generally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 of 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expressly prohibit our stockholders from acting by written consent. Stockholder action must take place at an annual or a special meeting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Advance Notification of Stockholder Nominations and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stockholders are denied the right to cumulate votes in the election of directors unless our Certificate of Incorporation provides otherwise. Our Certificate of Incorporation does not provide for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Cap and Ownership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Standstill Agreement, the voting power of shares held by PS Inc., Pershing Square Capital Management, L.P. and their respective affiliates (collectively, the “Pershing Square Entities”) is limited to 40% of the total voting power of the outstanding shares of Common Stock for all matters being voted on at a stockholder meeting or in a consent solicitation that the Board recommends that stockholders approve (the “Voting Cap”). Shares held by the Pershing Square Entities in excess of the Voting Cap will be voted in proportion to the votes cast by stockholders unaffiliated with the Pershing Square Entities. In addition, the Pershing Square Entities have agreed not to acquire beneficial or economic ownership of more than 47% of the outstanding shares of Common Stock (the “Ownership Cap”). The Pershing Square Entities have also agreed not to sell or otherwise transfer any shares of Common Stock if, immediately after giving effect to such sale or transfer, the acquiring person (other than an underwriter) would, together with its affiliates, beneficially own more than 10% of the then-outstanding shares of Common Stock, without the approval of a majority of the disinterested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 Approval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Standstill Agreement, without the approval of a majority of the Disinterested Directors, the Pershing Square Entities may not engage in any transaction or series of related transactions, directly or indirectly, between the Company or any subsidiary, on the one hand, and any of the Pershing Square Entities, on the other hand, except for (i) transactions expressly contemplated in the transaction documents, (ii) customary compensation arrangements for Pershing Square board designees, and (iii) transactions in the ordinary course of business that do not involve payments by the Company in excess of $10,000,000. Any decisions to be made by us with respect to or affecting the Series A Preferred Stock will be made by a majority of the Disinterested Directors (as defined in the Standstill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238d2_ex5-1.htm"/>
      <w:bookmarkStart w:id="23" w:name="kstm2622238d2_ex51"/>
      <w:bookmarkEnd w:id="22"/>
      <w:bookmarkEnd w:id="23"/>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5795" w:type="dxa"/>
        <w:jc w:val="left"/>
        <w:tblInd w:w="0" w:type="dxa"/>
        <w:tblLayout w:type="fixed"/>
        <w:tblCellMar>
          <w:top w:w="0" w:type="dxa"/>
          <w:left w:w="0" w:type="dxa"/>
          <w:bottom w:w="0" w:type="dxa"/>
          <w:right w:w="0" w:type="dxa"/>
        </w:tblCellMar>
      </w:tblPr>
      <w:tblGrid>
        <w:gridCol w:w="3465"/>
        <w:gridCol w:w="2330"/>
      </w:tblGrid>
      <w:tr>
        <w:trPr/>
        <w:tc>
          <w:tcPr>
            <w:tcW w:w="3465" w:type="dxa"/>
            <w:tcBorders/>
            <w:vAlign w:val="center"/>
          </w:tcPr>
          <w:p>
            <w:pPr>
              <w:pStyle w:val="TableContents"/>
              <w:bidi w:val="0"/>
              <w:spacing w:before="0" w:after="283"/>
              <w:jc w:val="left"/>
              <w:rPr/>
            </w:pPr>
            <w:r>
              <w:rPr/>
              <w:drawing>
                <wp:inline distT="0" distB="0" distL="0" distR="0">
                  <wp:extent cx="2190750" cy="266700"/>
                  <wp:effectExtent l="0" t="0" r="0" b="0"/>
                  <wp:docPr id="17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 descr=""/>
                          <pic:cNvPicPr>
                            <a:picLocks noChangeAspect="1" noChangeArrowheads="1"/>
                          </pic:cNvPicPr>
                        </pic:nvPicPr>
                        <pic:blipFill>
                          <a:blip r:embed="rId32"/>
                          <a:stretch>
                            <a:fillRect/>
                          </a:stretch>
                        </pic:blipFill>
                        <pic:spPr bwMode="auto">
                          <a:xfrm>
                            <a:off x="0" y="0"/>
                            <a:ext cx="2190750" cy="266700"/>
                          </a:xfrm>
                          <a:prstGeom prst="rect">
                            <a:avLst/>
                          </a:prstGeom>
                        </pic:spPr>
                      </pic:pic>
                    </a:graphicData>
                  </a:graphic>
                </wp:inline>
              </w:drawing>
            </w:r>
          </w:p>
        </w:tc>
        <w:tc>
          <w:tcPr>
            <w:tcW w:w="2330"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br/>
              <w:t>1999 K Street, N.W.</w:t>
              <w:br/>
              <w:t>Washington, DC 2006-1101</w:t>
              <w:br/>
              <w:t>United States of America</w:t>
            </w:r>
          </w:p>
          <w:p>
            <w:pPr>
              <w:pStyle w:val="TableContents"/>
              <w:bidi w:val="0"/>
              <w:jc w:val="right"/>
              <w:rPr>
                <w:caps w:val="false"/>
                <w:smallCaps w:val="false"/>
              </w:rPr>
            </w:pPr>
            <w:r>
              <w:rPr>
                <w:caps w:val="false"/>
                <w:smallCaps w:val="false"/>
              </w:rPr>
              <w:t> </w:t>
            </w:r>
          </w:p>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+1 202 263 3000</w:t>
            </w:r>
          </w:p>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+1 202 263 3300</w:t>
            </w:r>
          </w:p>
          <w:p>
            <w:pPr>
              <w:pStyle w:val="TableContents"/>
              <w:bidi w:val="0"/>
              <w:jc w:val="righ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mayerbrown.com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jc w:val="left"/>
        <w:rPr>
          <w:caps/>
        </w:rPr>
      </w:pPr>
      <w:r>
        <w:rPr>
          <w:caps/>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Hughes Holdings Inc.</w:t>
        <w:br/>
        <w:t>9950 Woodloch Forest Drive</w:t>
        <w:br/>
        <w:t>Suite 1100</w:t>
        <w:br/>
        <w:t>The Woodlands, Texas 77380</w:t>
      </w:r>
    </w:p>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65"/>
        <w:gridCol w:w="3425"/>
      </w:tblGrid>
      <w:tr>
        <w:trPr/>
        <w:tc>
          <w:tcPr>
            <w:tcW w:w="365"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both"/>
              <w:rPr>
                <w:u w:val="single"/>
              </w:rPr>
            </w:pPr>
            <w:r>
              <w:rPr>
                <w:u w:val="single"/>
              </w:rPr>
              <w:t>Registration Statement on Form S-3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represented Howard Hughes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a Registration Statement on Form S-3 (the “Registration Statement”) relating to the following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senior debt securities (the “Company Senior Debt Securities”) and subordinated debt securities (the “Company Subordinated Debt Securities” and, together with the Company Senior Debt Securities, the “Company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shares of preferred stock, including shares issued (a) upon conversion of the Company Debt Securities or (b) pursuant to Company Purchase Contracts (as defined below) or Company Units (as defined below), of the Company, par value $1.00 per share (the “Company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shares of common stock, including shares issued (a) upon conversion of the Company Debt Securities or Company Preferred Stock or (b) pursuant to Company Purchase Contracts (as defined below) or Company Units (as defined below), of the Company, par value $0.001 per share (the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depositary shares representing a fractional share or multiple shares of Company Preferred Stock evidenced by depositary receipts, including shares issued pursuant to Company Purchase Contracts (as defined below) or Company Units (as defined below) (the “Company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warrants to purchase Company Debt Securities, Company Preferred Stock, Company Common Stock, Company Depositary Shares or any combination of them (the “Company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is a global services provider comprising an association of legal practices that are separate entities including</w:t>
        <w:br/>
        <w:t>Mayer Brown LLP (Illinois, USA), Mayer Brown International LLP (England &amp; Wales), Mayer Brown Hong Kong LLP (a Hong Kong limited liability</w:t>
        <w:br/>
        <w:t>partnership) and Tauil &amp; Chequer Advogados (a Brazilian law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purchase contracts representing the Company’s obligation to sell or purchase Company Common Stock, Company Preferred Stock or Company Depositary Shares (the “Company Purchase Contracts”);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purchase units consisting of one or more Company Purchase Contracts and beneficial interests in debt securities or any other securities described in the applicable prospectus supplement or any combination of the foregoing, securing the holders’ obligations to purchase Company Common Stock, Company Preferred Stock or Company Depositary Shares (the “Company Purchase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securities of the Company registered under the Registration Statement are collectively referred to herein as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Senior Debt Securities are to be issued under an indenture to be entered into by and between the Company and the bank or trust company identified in such indenture as the trustee with respect to the Company Senior Debt Securities (the “Company Senior Debt Indenture”). The Company Subordinated Debt Securities are to be issued under an indenture to be entered into by and between the Company and the bank or trust company identified in such indenture as the trustee with respect to the Company Subordinated Debt Securities (the “Company Subordinated Debt Indenture” and, together with the Company Senior Debt Indenture, the “Company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Depositary Shares are to be issued under deposit agreements, each between the Company and a depositary to be identified in the applicable agreement (each, a “Depositary Agreement”). The Company Warrants are to be issued under warrant agreements, each between the Company and a warrant agent to be identified in the applicable agreement (each, a “Warrant Agreement”). The Company Purchase Contracts will be issued under purchase contract agreements, each between the Company and a purchase contract agent to be identified in the applicable agreement (each, a “Purchase Contract Agreement”). The Company Units are to be issued under purchase unit agreements, each between the Company and a unit agent to be identified in the applicable agreement (each, a “Purchase Unit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of the Securities to be issued by the Company from time to time will be approved by the Board of Directors of the Company or a committee thereof as part of the corporate action taken and to be taken in connection with the authorization of the issuance of the Securities (the “</w:t>
      </w:r>
      <w:r>
        <w:rPr>
          <w:rFonts w:ascii="Times New Roman;Times;Serif" w:hAnsi="Times New Roman;Times;Serif"/>
          <w:b w:val="false"/>
          <w:i w:val="false"/>
          <w:caps w:val="false"/>
          <w:smallCaps w:val="false"/>
          <w:sz w:val="20"/>
          <w:u w:val="single"/>
        </w:rPr>
        <w:t>Corporate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herein, we have examined and relied upon such documents, corporate records, certificates of public officials and certificates as to factual matters executed by officers of the Company as we have deemed necessary or appropriate. We have assumed the authenticity, accuracy and completeness of all documents, records and certificates submitted to us as originals, the conformity to the originals of all documents, records and certificates submitted to us as copies and the authenticity, accuracy and completeness of the originals of all documents, records and certificates submitted to us as copies. We have assumed the legal capacity and genuineness of the signatures of persons signing all documents in connection with which the opinions expressed herein are rendered. As to all parties other than the Company, we have assumed the due authorization, execution and delivery of all documents and the validity and enforceability thereof against all parties thereto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became effective upon filing with the Commission and we assume that the Registration Statement will remain effective under the Act at the time of the offering, issuance and sale any Securities. We have also assumed that (i) a prospectus supplement, pricing supplement and/or term sheet will have been prepared and filed with the Commission describing the Securities offered thereby and will comply with all applicable laws; (ii) all Securities will be issued and sold in compliance with applicable federal and state laws and in the manner stated in the Registration Statement and the appropriate prospectus supplement, pricing supplement and/or term sheet; (iii) prior to the issuance of any Company Debt Securities, the applicable Company Indenture will be duly authorized, executed and delivered by the parties thereto in substantially the form filed as an exhibit to the Registration Statement and will be duly qualified under the Trust Indenture Act of 1939, as amended, (iv) prior to the issuance of a series of Company Preferred Stock, an appropriate certificate of designation or board resolution relating to such series of Company Preferred Stock will have been duly authorized by the Company and filed with the Secretary of State of Delaware, (v) each of the Depositary Agreements, the Warrant Agreements, the Purchase Contract Agreements, the Unit Agreements, as the case may be, and any other agreement entered into, or officer’s certificates or board resolutions delivered, in connection with the issuance of the applicable Company Securities will be duly authorized, executed and delivered by the parties to such agreements (such agreements and documents, together with the Company Indentures, are referred to collectively as the “Operative Agreements”), and (vi) the execution, delivery and performance of the applicable Operative Agreements and the applicable Company Securities and issuance of the applicable Company Securities do not conflict with or constitute a breach of the terms of any agreement or instrument to which the Company is subject or violate applicable law or contravene any requirement or restriction imposed by any court or governmental body having jurisdiction over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qualifications expressed below,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Upon the completion of the Corporate Proceedings relating to a particular issuance of Company Debt Securities (including any Company Debt Securities duly issued upon exercise, exchange or conversion of any Company Security in accordance with its terms) and the due execution, authentication, issuance and delivery of the Company Debt Securities in accordance with the Company Indenture under which they are to be issued and when payment therefor is received, including, if applicable, upon exercise, exchange or conversion of any Company Security in accordance with its terms, such Company Debt Securities will constitute legal, valid and binding obligations of the Company enforceable against the Company in accordance with their terms, except as such enforceability may be limited by bankruptcy, insolvency, reorganization or similar laws affecting creditors’ rights generally, public policy considerations and subject to general principles of equity (regardless of whether enforcement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the completion of the Corporate Proceedings relating to a series of Company Preferred Stock, and the due execution, countersignature and delivery of the Company Preferred Stock of such series against payment therefor, including if applicable, upon exercise or conversion of any Company Security in accordance with its terms, the Company Preferred Stock of such series will be duly authorized, legally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Upon the completion of the Corporate Proceedings relating to the Company Common Stock and the due execution, countersignature and delivery of the Common Stock against payment therefor, including if applicable, upon exercise, exchange or conversion of any Company Security in accordance with its terms, such shares of Company Common Stock, will be duly authorized, legally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Upon the completion of the Corporate Proceedings with respect thereto, when Company Depositary Shares evidenced by depositary receipts are issued and delivered in accordance with the terms of a Depositary Agreement against payment therefore and the deposit of duly authorized, legally issued, fully paid and nonassessable shares of Company Preferred Stock, such Company Depositary Shares will entitle the holders thereof to the rights specified in the Depositary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Upon the completion of the Corporate Proceedings relating to the Company Warrants and the due execution, countersignature and delivery of the Company Warrants against payment therefor, if applicable, such Company Warrants will constitute legal, valid and binding obligations of the Company enforceable against the Company in accordance with their terms except as such enforceability may be limited by bankruptcy, insolvency, reorganization or similar laws affecting creditors’ rights generally, public policy considerations and subject to general principles of equity (regardless of whether enforcement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Upon the completion of the Corporate Proceedings with respect thereto, when any Company Purchase Contracts have been duly authorized, executed and delivered by Company against payments therefor, if applicable, such Company Purchase Contracts will constitute legal, valid and binding obligations of the Company enforceable against the Company in accordance with their terms, except as such enforceability may be limited by bankruptcy, insolvency, reorganization or similar laws affecting creditors’ rights generally, public policy considerations and subject to general principles of equity (regardless of whether enforcement is considered in a proceeding in equity or at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Upon the completion of the Corporate Proceedings with respect thereto, when any Company Units have been duly authorized, issued and delivered by the Company against payment therefore, if applicable, the Company Units will constitute legal, valid and binding obligations of the Company enforceable against the Company in accordance with their terms, except as such enforceability may be limited by bankruptcy, insolvency, reorganization or similar laws affecting creditors’ rights generally, public policy considerations and subject to general principles of equity (regardless of whether enforcement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admitted to practice law in the State of New York and we express no opinions as to matters under or involving any laws other than the laws of the State of New York, the federal laws of the United States of America and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to the reference to this firm under the caption “Legal Matters” in the Registration Statement. In giving such consent, we do not thereby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Mayer Brown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2238d2_ex23-1.htm"/>
      <w:bookmarkStart w:id="25" w:name="kstm2622238d2_ex231"/>
      <w:bookmarkEnd w:id="24"/>
      <w:bookmarkEnd w:id="25"/>
      <w:r>
        <w:rPr/>
        <w:t> </w:t>
      </w:r>
      <w:r>
        <w:br w:type="page"/>
      </w:r>
    </w:p>
    <w:p>
      <w:pPr>
        <w:pStyle w:val="TextBody"/>
        <w:bidi w:val="0"/>
        <w:jc w:val="right"/>
        <w:rPr>
          <w:b/>
        </w:rPr>
      </w:pPr>
      <w:r>
        <w:rPr>
          <w:b/>
        </w:rPr>
        <w:t>Exhibit 23.1</w:t>
      </w:r>
    </w:p>
    <w:p>
      <w:pPr>
        <w:pStyle w:val="TextBody"/>
        <w:bidi w:val="0"/>
        <w:spacing w:before="0" w:after="283"/>
        <w:jc w:val="left"/>
        <w:rPr/>
      </w:pPr>
      <w:r>
        <w:rPr/>
        <w:t> </w:t>
      </w:r>
    </w:p>
    <w:tbl>
      <w:tblPr>
        <w:tblW w:w="4490" w:type="dxa"/>
        <w:jc w:val="left"/>
        <w:tblInd w:w="0" w:type="dxa"/>
        <w:tblLayout w:type="fixed"/>
        <w:tblCellMar>
          <w:top w:w="0" w:type="dxa"/>
          <w:left w:w="0" w:type="dxa"/>
          <w:bottom w:w="0" w:type="dxa"/>
          <w:right w:w="0" w:type="dxa"/>
        </w:tblCellMar>
      </w:tblPr>
      <w:tblGrid>
        <w:gridCol w:w="1830"/>
        <w:gridCol w:w="2660"/>
      </w:tblGrid>
      <w:tr>
        <w:trPr/>
        <w:tc>
          <w:tcPr>
            <w:tcW w:w="1830" w:type="dxa"/>
            <w:tcBorders/>
            <w:vAlign w:val="center"/>
          </w:tcPr>
          <w:p>
            <w:pPr>
              <w:pStyle w:val="TableContents"/>
              <w:bidi w:val="0"/>
              <w:spacing w:before="0" w:after="283"/>
              <w:jc w:val="left"/>
              <w:rPr/>
            </w:pPr>
            <w:r>
              <w:rPr/>
              <w:drawing>
                <wp:inline distT="0" distB="0" distL="0" distR="0">
                  <wp:extent cx="1114425" cy="523875"/>
                  <wp:effectExtent l="0" t="0" r="0" b="0"/>
                  <wp:docPr id="1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2" descr=""/>
                          <pic:cNvPicPr>
                            <a:picLocks noChangeAspect="1" noChangeArrowheads="1"/>
                          </pic:cNvPicPr>
                        </pic:nvPicPr>
                        <pic:blipFill>
                          <a:blip r:embed="rId33"/>
                          <a:stretch>
                            <a:fillRect/>
                          </a:stretch>
                        </pic:blipFill>
                        <pic:spPr bwMode="auto">
                          <a:xfrm>
                            <a:off x="0" y="0"/>
                            <a:ext cx="1114425" cy="523875"/>
                          </a:xfrm>
                          <a:prstGeom prst="rect">
                            <a:avLst/>
                          </a:prstGeom>
                        </pic:spPr>
                      </pic:pic>
                    </a:graphicData>
                  </a:graphic>
                </wp:inline>
              </w:drawing>
            </w:r>
            <w:r>
              <w:rPr/>
              <w:t> </w:t>
            </w:r>
          </w:p>
        </w:tc>
        <w:tc>
          <w:tcPr>
            <w:tcW w:w="2660" w:type="dxa"/>
            <w:tcBorders/>
            <w:vAlign w:val="center"/>
          </w:tcPr>
          <w:p>
            <w:pPr>
              <w:pStyle w:val="TableContents"/>
              <w:bidi w:val="0"/>
              <w:spacing w:before="0" w:after="283"/>
              <w:jc w:val="left"/>
              <w:rPr/>
            </w:pPr>
            <w:r>
              <w:rPr/>
              <w:t> </w:t>
            </w:r>
          </w:p>
        </w:tc>
      </w:tr>
      <w:tr>
        <w:trPr/>
        <w:tc>
          <w:tcPr>
            <w:tcW w:w="183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KPMG LLP</w:t>
              <w:br/>
              <w:t>Suite 1400</w:t>
              <w:br/>
              <w:t>2323 Ross Avenue</w:t>
              <w:br/>
              <w:t>Dallas, TX 75201-2721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February 19, 2026, with respect to the consolidated financial statements of Howard Hughes Holdings Inc.,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w:t>
        <w:br/>
        <w:t>August 14, 2026</w:t>
      </w:r>
    </w:p>
    <w:p>
      <w:pPr>
        <w:pStyle w:val="TextBody"/>
        <w:bidi w:val="0"/>
        <w:spacing w:before="0" w:after="0"/>
        <w:ind w:left="0" w:right="0" w:hanging="0"/>
        <w:jc w:val="left"/>
        <w:rPr>
          <w:caps w:val="false"/>
          <w:smallCaps w:val="false"/>
        </w:rPr>
      </w:pPr>
      <w:r>
        <w:rPr>
          <w:caps w:val="false"/>
          <w:smallCaps w:val="false"/>
        </w:rPr>
        <w:t> </w:t>
      </w:r>
    </w:p>
    <w:tbl>
      <w:tblPr>
        <w:tblW w:w="8023" w:type="dxa"/>
        <w:jc w:val="left"/>
        <w:tblInd w:w="0" w:type="dxa"/>
        <w:tblLayout w:type="fixed"/>
        <w:tblCellMar>
          <w:top w:w="0" w:type="dxa"/>
          <w:left w:w="0" w:type="dxa"/>
          <w:bottom w:w="0" w:type="dxa"/>
          <w:right w:w="0" w:type="dxa"/>
        </w:tblCellMar>
      </w:tblPr>
      <w:tblGrid>
        <w:gridCol w:w="38"/>
        <w:gridCol w:w="79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7910" w:type="dxa"/>
            <w:tcBorders/>
            <w:vAlign w:val="center"/>
          </w:tcPr>
          <w:p>
            <w:pPr>
              <w:pStyle w:val="TableContents"/>
              <w:bidi w:val="0"/>
              <w:spacing w:before="0" w:after="283"/>
              <w:jc w:val="left"/>
              <w:rPr/>
            </w:pPr>
            <w:r>
              <w:rPr/>
              <w:t>KPMG LLP, a Delaware limited liability partnership, and its subsidiaries are part of</w:t>
              <w:br/>
              <w:t>the KPMG global organization of independent member firms affiliated with KPMG</w:t>
              <w:br/>
              <w:t>International Limited, a private English company limited by guarantee.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rPr>
      </w:pPr>
      <w:bookmarkStart w:id="26" w:name="tm2622238d2_ex23-3.htm"/>
      <w:bookmarkStart w:id="27" w:name="kstm2622238d2_ex233"/>
      <w:bookmarkEnd w:id="26"/>
      <w:bookmarkEnd w:id="27"/>
      <w:r>
        <w:rPr>
          <w:b/>
        </w:rPr>
        <w:t>Exhibit 23.3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S-3 of Howard Hughes Holdings Inc. of our report dated March 11, 2026 relating to the financial statements of Vantage Group Holdings Ltd., which appears in Howard Hughes Holdings Inc.’s Current Report on Form 8-K/A dated July 15,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New York, New York</w:t>
        <w:br/>
        <w:t>August 14,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tm2622238d1_ex-filingfees.htm"/>
      <w:bookmarkStart w:id="29" w:name="kstm2622238d1_exfilingfees"/>
      <w:bookmarkStart w:id="30" w:name="tm2622238d1_ex-filingfees.htm"/>
      <w:bookmarkStart w:id="31" w:name="kstm2622238d1_exfilingfees"/>
      <w:bookmarkEnd w:id="30"/>
      <w:bookmarkEnd w:id="31"/>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Howard Hughes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par value $1.00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2" w:name="MaxAggtOfferingPrice"/>
            <w:bookmarkEnd w:id="32"/>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In accordance with Rules 456(b) and 457(r) under the Securities Act of 1933, as amended, the registrant is deferring payment of all registration fees and will pay the registration fees subsequently in advance or on a "pay-as-you-go" basis.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Separate consideration may or may not be received for securities that are issuable upon conversion, exercise or exchange of other securities.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See note 1.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2" w:type="dxa"/>
            <w:gridSpan w:val="2"/>
            <w:tcBorders/>
            <w:vAlign w:val="center"/>
          </w:tcPr>
          <w:p>
            <w:pPr>
              <w:pStyle w:val="TableContents"/>
              <w:bidi w:val="0"/>
              <w:spacing w:before="0" w:after="283"/>
              <w:jc w:val="left"/>
              <w:rPr/>
            </w:pPr>
            <w:r>
              <w:rPr/>
              <w:t xml:space="preserve">See note 1. Each depositary share will be issued under a deposit agreement, will represent an interest in a fractional share or multiple shares of preferred stock and will be evidenced by a depositary receipt.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2" w:type="dxa"/>
            <w:gridSpan w:val="2"/>
            <w:tcBorders/>
            <w:vAlign w:val="center"/>
          </w:tcPr>
          <w:p>
            <w:pPr>
              <w:pStyle w:val="TableContents"/>
              <w:bidi w:val="0"/>
              <w:spacing w:before="0" w:after="283"/>
              <w:jc w:val="left"/>
              <w:rPr/>
            </w:pPr>
            <w:r>
              <w:rPr/>
              <w:t xml:space="preserve">See note 1.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2" w:type="dxa"/>
            <w:gridSpan w:val="2"/>
            <w:tcBorders/>
            <w:vAlign w:val="center"/>
          </w:tcPr>
          <w:p>
            <w:pPr>
              <w:pStyle w:val="TableContents"/>
              <w:bidi w:val="0"/>
              <w:spacing w:before="0" w:after="283"/>
              <w:jc w:val="left"/>
              <w:rPr/>
            </w:pPr>
            <w:r>
              <w:rPr/>
              <w:t xml:space="preserve">See note 1.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2" w:type="dxa"/>
            <w:gridSpan w:val="2"/>
            <w:tcBorders/>
            <w:vAlign w:val="center"/>
          </w:tcPr>
          <w:p>
            <w:pPr>
              <w:pStyle w:val="TableContents"/>
              <w:bidi w:val="0"/>
              <w:spacing w:before="0" w:after="283"/>
              <w:jc w:val="left"/>
              <w:rPr/>
            </w:pPr>
            <w:r>
              <w:rPr/>
              <w:t xml:space="preserve">See note 1.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2" w:type="dxa"/>
            <w:gridSpan w:val="2"/>
            <w:tcBorders/>
            <w:vAlign w:val="center"/>
          </w:tcPr>
          <w:p>
            <w:pPr>
              <w:pStyle w:val="TableContents"/>
              <w:bidi w:val="0"/>
              <w:spacing w:before="0" w:after="283"/>
              <w:jc w:val="left"/>
              <w:rPr/>
            </w:pPr>
            <w:r>
              <w:rPr/>
              <w:t xml:space="preserve">See note 1.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981792/000162828026009710/hhh-20251231.htm" TargetMode="External"/><Relationship Id="rId3" Type="http://schemas.openxmlformats.org/officeDocument/2006/relationships/hyperlink" Target="https://www.sec.gov/ix?doc=/Archives/edgar/data/1981792/000162828026053324/hhh-20260630.htm" TargetMode="External"/><Relationship Id="rId4" Type="http://schemas.openxmlformats.org/officeDocument/2006/relationships/hyperlink" Target="https://www.sec.gov/ix?doc=/Archives/edgar/data/1981792/000162828026009710/hhh-20251231.htm" TargetMode="External"/><Relationship Id="rId5" Type="http://schemas.openxmlformats.org/officeDocument/2006/relationships/hyperlink" Target="https://www.sec.gov/ix?doc=/Archives/edgar/data/1981792/000110465926051654/hhc-20251231x10ka.htm" TargetMode="External"/><Relationship Id="rId6" Type="http://schemas.openxmlformats.org/officeDocument/2006/relationships/hyperlink" Target="https://www.sec.gov/ix?doc=/Archives/edgar/data/1981792/000162828026032144/hhh-20260331.htm" TargetMode="External"/><Relationship Id="rId7" Type="http://schemas.openxmlformats.org/officeDocument/2006/relationships/hyperlink" Target="https://www.sec.gov/ix?doc=/Archives/edgar/data/1981792/000162828026053324/hhh-20260630.htm" TargetMode="External"/><Relationship Id="rId8" Type="http://schemas.openxmlformats.org/officeDocument/2006/relationships/hyperlink" Target="https://www.sec.gov/ix?doc=/Archives/edgar/data/1981792/000162828026053324/hhh-20260630.htm" TargetMode="External"/><Relationship Id="rId9" Type="http://schemas.openxmlformats.org/officeDocument/2006/relationships/hyperlink" Target="https://www.sec.gov/ix?doc=/Archives/edgar/data/1981792/000162828026053324/hhh-20260630.htm" TargetMode="External"/><Relationship Id="rId10" Type="http://schemas.openxmlformats.org/officeDocument/2006/relationships/hyperlink" Target="https://www.sec.gov/ix?doc=/Archives/edgar/data/1981792/000110465926016423/tm264897d3_8k.htm" TargetMode="External"/><Relationship Id="rId11" Type="http://schemas.openxmlformats.org/officeDocument/2006/relationships/hyperlink" Target="https://www.sec.gov/ix?doc=/Archives/edgar/data/1981792/000110465926046045/tm2612268d1_8k.htm" TargetMode="External"/><Relationship Id="rId12" Type="http://schemas.openxmlformats.org/officeDocument/2006/relationships/hyperlink" Target="https://www.sec.gov/ix?doc=/Archives/edgar/data/1981792/000110465926071029/tm2616794d1_8k.htm" TargetMode="External"/><Relationship Id="rId13" Type="http://schemas.openxmlformats.org/officeDocument/2006/relationships/hyperlink" Target="https://www.sec.gov/ix?doc=/Archives/edgar/data/1981792/000110465926083909/tm2620400d1_8ka.htm" TargetMode="External"/><Relationship Id="rId14" Type="http://schemas.openxmlformats.org/officeDocument/2006/relationships/hyperlink" Target="https://www.sec.gov/ix?doc=/Archives/edgar/data/1981792/000110465926083909/tm2620400d1_8ka.htm" TargetMode="External"/><Relationship Id="rId15" Type="http://schemas.openxmlformats.org/officeDocument/2006/relationships/hyperlink" Target="https://www.sec.gov/ix?doc=/Archives/edgar/data/1981792/000110465925079294/tm252358-5_def14a.htm" TargetMode="External"/><Relationship Id="rId16" Type="http://schemas.openxmlformats.org/officeDocument/2006/relationships/hyperlink" Target="https://www.sec.gov/ix?doc=/Archives/edgar/data/1981792/000162828026009710/hhh-20251231.htm" TargetMode="External"/><Relationship Id="rId17" Type="http://schemas.openxmlformats.org/officeDocument/2006/relationships/hyperlink" Target="https://www.sec.gov/ix?doc=/Archives/edgar/data/1981792/000162828026053324/hhh-20260630.htm" TargetMode="External"/><Relationship Id="rId18" Type="http://schemas.openxmlformats.org/officeDocument/2006/relationships/hyperlink" Target="https://www.sec.gov/Archives/edgar/data/1981792/000110465923090466/tm2323105d1_ex3-1.htm" TargetMode="External"/><Relationship Id="rId19" Type="http://schemas.openxmlformats.org/officeDocument/2006/relationships/hyperlink" Target="https://www.sec.gov/Archives/edgar/data/1981792/000110465923090466/tm2323105d1_ex3-2.htm" TargetMode="External"/><Relationship Id="rId20" Type="http://schemas.openxmlformats.org/officeDocument/2006/relationships/hyperlink" Target="https://www.sec.gov/ix?doc=/Archives/edgar/data/1981792/000162828026009710/hhh-20251231.htm" TargetMode="External"/><Relationship Id="rId21" Type="http://schemas.openxmlformats.org/officeDocument/2006/relationships/hyperlink" Target="https://www.sec.gov/ix?doc=/Archives/edgar/data/1981792/000110465926083909/tm2620400d1_8ka.htm" TargetMode="External"/><Relationship Id="rId22" Type="http://schemas.openxmlformats.org/officeDocument/2006/relationships/hyperlink" Target="https://www.sec.gov/Archives/edgar/data/1981792/000110465923090466/tm2323105d1_ex3-1.htm" TargetMode="External"/><Relationship Id="rId23" Type="http://schemas.openxmlformats.org/officeDocument/2006/relationships/hyperlink" Target="https://www.sec.gov/Archives/edgar/data/1981792/000110465926071029/tm2616794d1_ex3-1.htm" TargetMode="External"/><Relationship Id="rId24" Type="http://schemas.openxmlformats.org/officeDocument/2006/relationships/hyperlink" Target="https://www.sec.gov/Archives/edgar/data/1981792/000110465923090466/tm2323105d1_ex3-2.htm" TargetMode="External"/><Relationship Id="rId25" Type="http://schemas.openxmlformats.org/officeDocument/2006/relationships/hyperlink" Target="https://www.sec.gov/Archives/edgar/data/1981792/000110465926016423/tm264897d3_ex4-1.htm" TargetMode="External"/><Relationship Id="rId26" Type="http://schemas.openxmlformats.org/officeDocument/2006/relationships/hyperlink" Target="https://www.sec.gov/Archives/edgar/data/1981792/000110465926016423/tm264897d3_ex4-3.htm" TargetMode="External"/><Relationship Id="rId27" Type="http://schemas.openxmlformats.org/officeDocument/2006/relationships/hyperlink" Target="https://www.sec.gov/Archives/edgar/data/1981792/000110465925122577/tm2533845d1_ex10-2.htm" TargetMode="External"/><Relationship Id="rId28" Type="http://schemas.openxmlformats.org/officeDocument/2006/relationships/hyperlink" Target="https://www.sec.gov/Archives/edgar/data/1981792/000110465926071029/tm2616794d1_ex10-1.htm" TargetMode="External"/><Relationship Id="rId29" Type="http://schemas.openxmlformats.org/officeDocument/2006/relationships/hyperlink" Target="https://www.sec.gov/Archives/edgar/data/1981792/000110465926046045/tm2612268d1_ex4-1.htm" TargetMode="External"/><Relationship Id="rId30" Type="http://schemas.openxmlformats.org/officeDocument/2006/relationships/hyperlink" Target="https://www.sec.gov/Archives/edgar/data/1981792/000110465923090547/tm2323059d2_ex4-3.htm" TargetMode="External"/><Relationship Id="rId31" Type="http://schemas.openxmlformats.org/officeDocument/2006/relationships/hyperlink" Target="https://www.sec.gov/Archives/edgar/data/1981792/000110465923090547/tm2323059d2_ex4-4.htm" TargetMode="External"/><Relationship Id="rId32" Type="http://schemas.openxmlformats.org/officeDocument/2006/relationships/image" Target="media/image1.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36436</Words>
  <Characters>192657</Characters>
  <CharactersWithSpaces>230375</CharactersWithSpaces>
  <Paragraphs>2066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