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0002046665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283"/>
              <w:jc w:val="left"/>
              <w:rPr/>
            </w:pPr>
            <w:r>
              <w:rPr/>
              <w:t>Name of Issuer</w:t>
            </w:r>
          </w:p>
        </w:tc>
        <w:tc>
          <w:tcPr>
            <w:tcW w:w="4344" w:type="dxa"/>
            <w:tcBorders/>
            <w:vAlign w:val="center"/>
          </w:tcPr>
          <w:p>
            <w:pPr>
              <w:pStyle w:val="TableContents"/>
              <w:bidi w:val="0"/>
              <w:spacing w:before="0" w:after="0"/>
              <w:jc w:val="left"/>
              <w:rPr/>
            </w:pPr>
            <w:r>
              <w:rPr/>
              <w:t>Howard Hughes Holdings Inc.</w:t>
            </w:r>
          </w:p>
        </w:tc>
      </w:tr>
      <w:tr>
        <w:trPr/>
        <w:tc>
          <w:tcPr>
            <w:tcW w:w="5861" w:type="dxa"/>
            <w:tcBorders/>
            <w:vAlign w:val="center"/>
          </w:tcPr>
          <w:p>
            <w:pPr>
              <w:pStyle w:val="TableContents"/>
              <w:bidi w:val="0"/>
              <w:spacing w:before="0" w:after="283"/>
              <w:jc w:val="left"/>
              <w:rPr/>
            </w:pPr>
            <w:r>
              <w:rPr/>
              <w:t>SEC File Number</w:t>
            </w:r>
          </w:p>
        </w:tc>
        <w:tc>
          <w:tcPr>
            <w:tcW w:w="4344" w:type="dxa"/>
            <w:tcBorders/>
            <w:vAlign w:val="center"/>
          </w:tcPr>
          <w:p>
            <w:pPr>
              <w:pStyle w:val="TableContents"/>
              <w:bidi w:val="0"/>
              <w:spacing w:before="0" w:after="0"/>
              <w:jc w:val="left"/>
              <w:rPr/>
            </w:pPr>
            <w:r>
              <w:rPr/>
              <w:t>001-41779</w:t>
            </w:r>
          </w:p>
        </w:tc>
      </w:tr>
      <w:tr>
        <w:trPr/>
        <w:tc>
          <w:tcPr>
            <w:tcW w:w="5861" w:type="dxa"/>
            <w:tcBorders/>
            <w:vAlign w:val="center"/>
          </w:tcPr>
          <w:p>
            <w:pPr>
              <w:pStyle w:val="TableContents"/>
              <w:bidi w:val="0"/>
              <w:spacing w:before="0" w:after="283"/>
              <w:jc w:val="left"/>
              <w:rPr/>
            </w:pPr>
            <w:r>
              <w:rPr/>
              <w:t>Address of Issuer</w:t>
            </w:r>
          </w:p>
        </w:tc>
        <w:tc>
          <w:tcPr>
            <w:tcW w:w="4344" w:type="dxa"/>
            <w:tcBorders/>
            <w:vAlign w:val="center"/>
          </w:tcPr>
          <w:p>
            <w:pPr>
              <w:pStyle w:val="TableContents"/>
              <w:bidi w:val="0"/>
              <w:spacing w:before="0" w:after="0"/>
              <w:jc w:val="left"/>
              <w:rPr/>
            </w:pPr>
            <w:r>
              <w:rPr/>
              <w:t>9950 WOODLOCH FOREST DRIVE</w:t>
              <w:br/>
              <w:t>11TH FLOOR</w:t>
              <w:br/>
              <w:t>THE WOODLANDS</w:t>
              <w:br/>
              <w:t xml:space="preserve">TEXAS </w:t>
              <w:br/>
              <w:t>77380</w:t>
            </w:r>
          </w:p>
        </w:tc>
      </w:tr>
      <w:tr>
        <w:trPr/>
        <w:tc>
          <w:tcPr>
            <w:tcW w:w="5861" w:type="dxa"/>
            <w:tcBorders/>
            <w:vAlign w:val="center"/>
          </w:tcPr>
          <w:p>
            <w:pPr>
              <w:pStyle w:val="TableContents"/>
              <w:bidi w:val="0"/>
              <w:spacing w:before="0" w:after="283"/>
              <w:jc w:val="left"/>
              <w:rPr/>
            </w:pPr>
            <w:r>
              <w:rPr/>
              <w:t>Phone</w:t>
            </w:r>
          </w:p>
        </w:tc>
        <w:tc>
          <w:tcPr>
            <w:tcW w:w="4344" w:type="dxa"/>
            <w:tcBorders/>
            <w:vAlign w:val="center"/>
          </w:tcPr>
          <w:p>
            <w:pPr>
              <w:pStyle w:val="TableContents"/>
              <w:bidi w:val="0"/>
              <w:spacing w:before="0" w:after="0"/>
              <w:jc w:val="left"/>
              <w:rPr/>
            </w:pPr>
            <w:r>
              <w:rPr/>
              <w:t>6463543406</w:t>
            </w:r>
          </w:p>
        </w:tc>
      </w:tr>
      <w:tr>
        <w:trPr/>
        <w:tc>
          <w:tcPr>
            <w:tcW w:w="5861" w:type="dxa"/>
            <w:tcBorders/>
            <w:vAlign w:val="center"/>
          </w:tcPr>
          <w:p>
            <w:pPr>
              <w:pStyle w:val="TableContents"/>
              <w:bidi w:val="0"/>
              <w:spacing w:before="0" w:after="283"/>
              <w:jc w:val="left"/>
              <w:rPr/>
            </w:pPr>
            <w:r>
              <w:rPr/>
              <w:t>Name of Person for Whose Account the Securities are To Be Sold</w:t>
            </w:r>
          </w:p>
        </w:tc>
        <w:tc>
          <w:tcPr>
            <w:tcW w:w="4344" w:type="dxa"/>
            <w:tcBorders/>
            <w:vAlign w:val="center"/>
          </w:tcPr>
          <w:p>
            <w:pPr>
              <w:pStyle w:val="TableContents"/>
              <w:bidi w:val="0"/>
              <w:spacing w:before="0" w:after="0"/>
              <w:jc w:val="left"/>
              <w:rPr/>
            </w:pPr>
            <w:r>
              <w:rPr/>
              <w:t>Bustamante Jose Miguel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1" w:type="dxa"/>
            <w:tcBorders/>
            <w:vAlign w:val="center"/>
          </w:tcPr>
          <w:p>
            <w:pPr>
              <w:pStyle w:val="TableContents"/>
              <w:bidi w:val="0"/>
              <w:spacing w:before="0" w:after="283"/>
              <w:jc w:val="left"/>
              <w:rPr/>
            </w:pPr>
            <w:r>
              <w:rPr/>
              <w:t>Relationship to Issuer</w:t>
            </w:r>
          </w:p>
        </w:tc>
        <w:tc>
          <w:tcPr>
            <w:tcW w:w="43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763</w:t>
            </w:r>
          </w:p>
        </w:tc>
        <w:tc>
          <w:tcPr>
            <w:tcW w:w="1380" w:type="dxa"/>
            <w:tcBorders/>
            <w:vAlign w:val="center"/>
          </w:tcPr>
          <w:p>
            <w:pPr>
              <w:pStyle w:val="TableContents"/>
              <w:bidi w:val="0"/>
              <w:spacing w:before="0" w:after="283"/>
              <w:jc w:val="left"/>
              <w:rPr/>
            </w:pPr>
            <w:r>
              <w:rPr/>
              <w:t>51143.89</w:t>
            </w:r>
          </w:p>
        </w:tc>
        <w:tc>
          <w:tcPr>
            <w:tcW w:w="1555" w:type="dxa"/>
            <w:tcBorders/>
            <w:vAlign w:val="center"/>
          </w:tcPr>
          <w:p>
            <w:pPr>
              <w:pStyle w:val="TableContents"/>
              <w:bidi w:val="0"/>
              <w:spacing w:before="0" w:after="283"/>
              <w:jc w:val="left"/>
              <w:rPr/>
            </w:pPr>
            <w:r>
              <w:rPr/>
              <w:t>59721036</w:t>
            </w:r>
          </w:p>
        </w:tc>
        <w:tc>
          <w:tcPr>
            <w:tcW w:w="1569" w:type="dxa"/>
            <w:tcBorders/>
            <w:vAlign w:val="center"/>
          </w:tcPr>
          <w:p>
            <w:pPr>
              <w:pStyle w:val="TableContents"/>
              <w:bidi w:val="0"/>
              <w:spacing w:before="0" w:after="283"/>
              <w:jc w:val="left"/>
              <w:rPr/>
            </w:pPr>
            <w:r>
              <w:rPr/>
              <w:t>08/17/2026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763</w:t>
            </w:r>
          </w:p>
        </w:tc>
        <w:tc>
          <w:tcPr>
            <w:tcW w:w="1046" w:type="dxa"/>
            <w:tcBorders/>
            <w:vAlign w:val="center"/>
          </w:tcPr>
          <w:p>
            <w:pPr>
              <w:pStyle w:val="TableContents"/>
              <w:bidi w:val="0"/>
              <w:spacing w:before="0" w:after="283"/>
              <w:jc w:val="left"/>
              <w:rPr/>
            </w:pPr>
            <w:r>
              <w:rPr/>
              <w:t>02/05/2026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950"/>
        <w:gridCol w:w="946"/>
        <w:gridCol w:w="1564"/>
        <w:gridCol w:w="1688"/>
      </w:tblGrid>
      <w:tr>
        <w:trPr/>
        <w:tc>
          <w:tcPr>
            <w:tcW w:w="3057"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Jose Bustamante</w:t>
              <w:br/>
              <w:t>9950 Woodloch Forest Drive</w:t>
              <w:br/>
              <w:t>Suite 1100</w:t>
              <w:br/>
              <w:t>The Woodlands   TX   77380</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06/10/2026</w:t>
            </w:r>
          </w:p>
        </w:tc>
        <w:tc>
          <w:tcPr>
            <w:tcW w:w="1564" w:type="dxa"/>
            <w:tcBorders/>
            <w:vAlign w:val="center"/>
          </w:tcPr>
          <w:p>
            <w:pPr>
              <w:pStyle w:val="TableContents"/>
              <w:bidi w:val="0"/>
              <w:spacing w:before="0" w:after="283"/>
              <w:jc w:val="left"/>
              <w:rPr/>
            </w:pPr>
            <w:r>
              <w:rPr/>
              <w:t>700</w:t>
            </w:r>
          </w:p>
        </w:tc>
        <w:tc>
          <w:tcPr>
            <w:tcW w:w="1688" w:type="dxa"/>
            <w:tcBorders/>
            <w:vAlign w:val="center"/>
          </w:tcPr>
          <w:p>
            <w:pPr>
              <w:pStyle w:val="TableContents"/>
              <w:bidi w:val="0"/>
              <w:spacing w:before="0" w:after="283"/>
              <w:jc w:val="left"/>
              <w:rPr/>
            </w:pPr>
            <w:r>
              <w:rPr/>
              <w:t>47026.00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Adam Gehring, as a duly authorized representative of Fidelity Brokerage Services LLC, as attorney-in-fact for Jose Bustamante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3165</Characters>
  <CharactersWithSpaces>3726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