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Howard Hughes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PENNSYLVANIA</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3,696.00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3,011,436.00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3,011,436.00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5.04 %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IA</w:t>
      </w:r>
    </w:p>
    <w:p>
      <w:pPr>
        <w:spacing w:after="0" w:line="246"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In accordance with SEC Release No. 34-39538 (January 12, 1998), this Schedule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13G reflects the securities beneficially owned, or deemed to be beneficially owned, by Vanguard Portfolio Management LLC and the following affiliates of Vanguard Portfolio Management LLC or business divisions of such affiliates: Vanguard Fiduciary Trust Company and Vanguard Global Advisers, LLC. This Schedule 13G includes securities held by Vanguard funds, or sleeves thereof, over which Vanguard Portfolio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Portfolio Management LLC, or business divisions of such subsidiaries whose ownership of securities is disaggregated from that of the reporting business unit in accordance with such release.</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220"/>
          </w:cols>
          <w:pgMar w:left="320" w:top="102" w:right="359" w:bottom="0" w:gutter="0" w:footer="0" w:header="0"/>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Howard Hughes Holdings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9950 Woodloch Forest Dr, Suite 1100, Spring, TX, 77380</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2">
            <w:col w:w="660" w:space="300"/>
            <w:col w:w="10260"/>
          </w:cols>
          <w:pgMar w:left="320" w:top="102" w:right="359" w:bottom="0" w:gutter="0" w:footer="0" w:header="0"/>
          <w:type w:val="continuous"/>
        </w:sectPr>
      </w:pPr>
    </w:p>
    <w:bookmarkStart w:id="2" w:name="page3"/>
    <w:bookmarkEnd w:id="2"/>
    <w:p>
      <w:pPr>
        <w:spacing w:after="0" w:line="26"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3011436</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5.04 %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64"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3696</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3011436</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0"/>
        <w:spacing w:after="0" w:line="239" w:lineRule="auto"/>
        <w:rPr>
          <w:sz w:val="20"/>
          <w:szCs w:val="20"/>
          <w:color w:val="auto"/>
        </w:rPr>
      </w:pPr>
      <w:r>
        <w:rPr>
          <w:rFonts w:ascii="Times New Roman" w:cs="Times New Roman" w:eastAsia="Times New Roman" w:hAnsi="Times New Roman"/>
          <w:sz w:val="22"/>
          <w:szCs w:val="22"/>
          <w:color w:val="auto"/>
        </w:rPr>
        <w:t>Vanguard Portfolio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64" w:orient="portrait"/>
          <w:cols w:equalWidth="0" w:num="2">
            <w:col w:w="720" w:space="200"/>
            <w:col w:w="10220"/>
          </w:cols>
          <w:pgMar w:left="360" w:top="126" w:right="399" w:bottom="0" w:gutter="0" w:footer="0" w:header="0"/>
          <w:type w:val="continuous"/>
        </w:sectPr>
      </w:pPr>
    </w:p>
    <w:p>
      <w:pPr>
        <w:ind w:left="940" w:right="40"/>
        <w:spacing w:after="0" w:line="282" w:lineRule="auto"/>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 and are held in the ordinary course of business and were not acquired and are not held for the purpose of or with the</w:t>
      </w:r>
    </w:p>
    <w:p>
      <w:pPr>
        <w:sectPr>
          <w:pgSz w:w="11900" w:h="16864" w:orient="portrait"/>
          <w:cols w:equalWidth="0" w:num="1">
            <w:col w:w="11140"/>
          </w:cols>
          <w:pgMar w:left="360" w:top="126" w:right="399" w:bottom="0" w:gutter="0" w:footer="0" w:header="0"/>
          <w:type w:val="continuous"/>
        </w:sectPr>
      </w:pPr>
    </w:p>
    <w:bookmarkStart w:id="3" w:name="page4"/>
    <w:bookmarkEnd w:id="3"/>
    <w:p>
      <w:pPr>
        <w:ind w:left="720" w:right="220"/>
        <w:spacing w:after="0" w:line="244" w:lineRule="auto"/>
        <w:rPr>
          <w:sz w:val="20"/>
          <w:szCs w:val="20"/>
          <w:color w:val="auto"/>
        </w:rPr>
      </w:pPr>
      <w:r>
        <w:rPr>
          <w:rFonts w:ascii="Times New Roman" w:cs="Times New Roman" w:eastAsia="Times New Roman" w:hAnsi="Times New Roman"/>
          <w:sz w:val="22"/>
          <w:szCs w:val="22"/>
          <w:color w:val="auto"/>
        </w:rPr>
        <w:t>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04/29/2026</w:t>
      </w:r>
    </w:p>
    <w:sectPr>
      <w:pgSz w:w="11900" w:h="16838" w:orient="portrait"/>
      <w:cols w:equalWidth="0" w:num="1">
        <w:col w:w="10920"/>
      </w:cols>
      <w:pgMar w:left="58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4"/>
    </w:lvl>
  </w:abstractNum>
  <w:abstractNum w:abstractNumId="3">
    <w:nsid w:val="46E87CCD"/>
    <w:multiLevelType w:val="hybridMultilevel"/>
    <w:lvl w:ilvl="0">
      <w:lvlJc w:val="left"/>
      <w:lvlText w:val="(%1)"/>
      <w:numFmt w:val="lowerLetter"/>
      <w:start w:val="1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2026-04-29T13:26:33Z</dcterms:created>
  <dcterms:modified xsi:type="dcterms:W3CDTF">2026-04-29T13:26:33Z</dcterms:modified>
</cp:coreProperties>
</file>